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8" w:tblpY="86"/>
        <w:tblW w:w="9547"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000" w:firstRow="0" w:lastRow="0" w:firstColumn="0" w:lastColumn="0" w:noHBand="0" w:noVBand="0"/>
      </w:tblPr>
      <w:tblGrid>
        <w:gridCol w:w="9547"/>
      </w:tblGrid>
      <w:tr w:rsidR="00CF7BBC" w:rsidRPr="00F243C6" w14:paraId="4A492FDD" w14:textId="77777777" w:rsidTr="008C24B3">
        <w:trPr>
          <w:trHeight w:val="345"/>
        </w:trPr>
        <w:tc>
          <w:tcPr>
            <w:tcW w:w="9547" w:type="dxa"/>
            <w:shd w:val="clear" w:color="auto" w:fill="auto"/>
          </w:tcPr>
          <w:p w14:paraId="6BAD1E2E" w14:textId="77777777" w:rsidR="00247C1E" w:rsidRDefault="00247C1E" w:rsidP="00311C84">
            <w:pPr>
              <w:jc w:val="center"/>
              <w:rPr>
                <w:b/>
                <w:sz w:val="24"/>
                <w:szCs w:val="24"/>
              </w:rPr>
            </w:pPr>
            <w:r w:rsidRPr="00247C1E">
              <w:rPr>
                <w:b/>
                <w:sz w:val="24"/>
                <w:szCs w:val="24"/>
              </w:rPr>
              <w:t>RTO Complaints and Appeals Policy and Procedure</w:t>
            </w:r>
          </w:p>
          <w:p w14:paraId="24A14247" w14:textId="6B6BBC86" w:rsidR="00CF7BBC" w:rsidRPr="00664DA4" w:rsidRDefault="00CF7BBC" w:rsidP="00311C84">
            <w:pPr>
              <w:jc w:val="center"/>
              <w:rPr>
                <w:rFonts w:ascii="Museo 500" w:hAnsi="Museo 500"/>
                <w:sz w:val="20"/>
                <w:szCs w:val="20"/>
              </w:rPr>
            </w:pPr>
            <w:r w:rsidRPr="00664DA4">
              <w:rPr>
                <w:sz w:val="20"/>
                <w:szCs w:val="20"/>
              </w:rPr>
              <w:t>Policy and Procedure</w:t>
            </w:r>
          </w:p>
        </w:tc>
      </w:tr>
    </w:tbl>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10"/>
        <w:gridCol w:w="3969"/>
        <w:gridCol w:w="284"/>
        <w:gridCol w:w="2835"/>
      </w:tblGrid>
      <w:tr w:rsidR="00F243C6" w:rsidRPr="00E80147" w14:paraId="6D63BF4F" w14:textId="77777777" w:rsidTr="1DE2D316">
        <w:trPr>
          <w:trHeight w:val="251"/>
        </w:trPr>
        <w:tc>
          <w:tcPr>
            <w:tcW w:w="6379"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3C9807DA" w14:textId="29E48B98" w:rsidR="00194867" w:rsidRPr="00E80147" w:rsidRDefault="00194867" w:rsidP="00247C1E">
            <w:pPr>
              <w:pStyle w:val="BodyText"/>
              <w:rPr>
                <w:sz w:val="20"/>
                <w:szCs w:val="20"/>
              </w:rPr>
            </w:pPr>
            <w:r w:rsidRPr="00E80147">
              <w:rPr>
                <w:b/>
                <w:sz w:val="20"/>
                <w:szCs w:val="20"/>
              </w:rPr>
              <w:t xml:space="preserve">Applies to: </w:t>
            </w:r>
            <w:r w:rsidR="00311C84">
              <w:rPr>
                <w:sz w:val="20"/>
                <w:szCs w:val="20"/>
              </w:rPr>
              <w:t>A</w:t>
            </w:r>
            <w:r w:rsidR="00311C84" w:rsidRPr="00BE2766">
              <w:rPr>
                <w:sz w:val="20"/>
                <w:szCs w:val="20"/>
              </w:rPr>
              <w:t xml:space="preserve">ll </w:t>
            </w:r>
            <w:r w:rsidR="00247C1E">
              <w:rPr>
                <w:sz w:val="20"/>
                <w:szCs w:val="20"/>
              </w:rPr>
              <w:t>students</w:t>
            </w:r>
            <w:r w:rsidR="00311C84" w:rsidRPr="00BE2766">
              <w:rPr>
                <w:sz w:val="20"/>
                <w:szCs w:val="20"/>
              </w:rPr>
              <w:t xml:space="preserve"> </w:t>
            </w:r>
            <w:r w:rsidR="00247C1E">
              <w:rPr>
                <w:sz w:val="20"/>
                <w:szCs w:val="20"/>
              </w:rPr>
              <w:t>enrolled with</w:t>
            </w:r>
            <w:r w:rsidR="00311C84" w:rsidRPr="00BE2766">
              <w:rPr>
                <w:sz w:val="20"/>
                <w:szCs w:val="20"/>
              </w:rPr>
              <w:t xml:space="preserve"> Inclusion Training</w:t>
            </w:r>
          </w:p>
        </w:tc>
        <w:tc>
          <w:tcPr>
            <w:tcW w:w="284" w:type="dxa"/>
            <w:vMerge w:val="restart"/>
            <w:tcBorders>
              <w:top w:val="nil"/>
              <w:left w:val="single" w:sz="8" w:space="0" w:color="404040" w:themeColor="text1" w:themeTint="BF"/>
              <w:bottom w:val="nil"/>
              <w:right w:val="single" w:sz="8" w:space="0" w:color="404040" w:themeColor="text1" w:themeTint="BF"/>
            </w:tcBorders>
          </w:tcPr>
          <w:p w14:paraId="0A37501D" w14:textId="77777777" w:rsidR="00194867" w:rsidRPr="00E80147" w:rsidRDefault="00194867" w:rsidP="002B0B50">
            <w:pPr>
              <w:pStyle w:val="BodyText"/>
              <w:rPr>
                <w:sz w:val="20"/>
                <w:szCs w:val="20"/>
              </w:rPr>
            </w:pPr>
          </w:p>
        </w:tc>
        <w:tc>
          <w:tcPr>
            <w:tcW w:w="283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5AD468EA" w14:textId="262233D9" w:rsidR="00194867" w:rsidRPr="00E80147" w:rsidRDefault="00194867" w:rsidP="0072592C">
            <w:pPr>
              <w:pStyle w:val="BodyText"/>
              <w:rPr>
                <w:i/>
                <w:sz w:val="20"/>
                <w:szCs w:val="20"/>
              </w:rPr>
            </w:pPr>
            <w:r w:rsidRPr="00E80147">
              <w:rPr>
                <w:b/>
                <w:sz w:val="20"/>
                <w:szCs w:val="20"/>
              </w:rPr>
              <w:t>Version</w:t>
            </w:r>
            <w:r w:rsidRPr="00E80147">
              <w:rPr>
                <w:sz w:val="20"/>
                <w:szCs w:val="20"/>
              </w:rPr>
              <w:t xml:space="preserve">: </w:t>
            </w:r>
            <w:r w:rsidR="008C1AB2">
              <w:rPr>
                <w:sz w:val="20"/>
                <w:szCs w:val="20"/>
              </w:rPr>
              <w:t>2</w:t>
            </w:r>
          </w:p>
        </w:tc>
      </w:tr>
      <w:tr w:rsidR="00F243C6" w:rsidRPr="00E80147" w14:paraId="500B06E4" w14:textId="77777777" w:rsidTr="1DE2D316">
        <w:trPr>
          <w:trHeight w:val="198"/>
        </w:trPr>
        <w:tc>
          <w:tcPr>
            <w:tcW w:w="6379" w:type="dxa"/>
            <w:gridSpan w:val="2"/>
            <w:vMerge w:val="restart"/>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25B9F575" w14:textId="43EF6BAE" w:rsidR="00194867" w:rsidRPr="00E80147" w:rsidRDefault="00194867" w:rsidP="0072592C">
            <w:pPr>
              <w:pStyle w:val="BodyText"/>
              <w:rPr>
                <w:sz w:val="20"/>
                <w:szCs w:val="20"/>
              </w:rPr>
            </w:pPr>
            <w:r w:rsidRPr="00E80147">
              <w:rPr>
                <w:b/>
                <w:sz w:val="20"/>
                <w:szCs w:val="20"/>
              </w:rPr>
              <w:t>Specific responsibility:</w:t>
            </w:r>
            <w:r w:rsidR="00831F48" w:rsidRPr="00E80147">
              <w:rPr>
                <w:b/>
                <w:sz w:val="20"/>
                <w:szCs w:val="20"/>
              </w:rPr>
              <w:t xml:space="preserve"> </w:t>
            </w:r>
            <w:r w:rsidR="00323657" w:rsidRPr="00323657">
              <w:rPr>
                <w:rFonts w:eastAsia="Times New Roman" w:cs="Times New Roman"/>
                <w:sz w:val="18"/>
                <w:szCs w:val="20"/>
                <w:lang w:val="en-AU" w:eastAsia="en-US"/>
              </w:rPr>
              <w:t>The Manager, Compliance Officer is responsible for updating this policy and procedure and Trainers and Assessors are responsible for ensuring this policy and procedure is adhered to.</w:t>
            </w:r>
          </w:p>
        </w:tc>
        <w:tc>
          <w:tcPr>
            <w:tcW w:w="284" w:type="dxa"/>
            <w:vMerge/>
          </w:tcPr>
          <w:p w14:paraId="5DAB6C7B" w14:textId="77777777" w:rsidR="00194867" w:rsidRPr="00E80147" w:rsidRDefault="00194867" w:rsidP="002B0B50">
            <w:pPr>
              <w:pStyle w:val="BodyText"/>
              <w:rPr>
                <w:sz w:val="20"/>
                <w:szCs w:val="20"/>
              </w:rPr>
            </w:pPr>
          </w:p>
        </w:tc>
        <w:tc>
          <w:tcPr>
            <w:tcW w:w="283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F9D781A" w14:textId="6DD32CD1" w:rsidR="00194867" w:rsidRPr="00E80147" w:rsidRDefault="00194867" w:rsidP="008F04D8">
            <w:pPr>
              <w:pStyle w:val="BodyText"/>
              <w:rPr>
                <w:sz w:val="20"/>
                <w:szCs w:val="20"/>
              </w:rPr>
            </w:pPr>
            <w:r w:rsidRPr="00E80147">
              <w:rPr>
                <w:b/>
                <w:sz w:val="20"/>
                <w:szCs w:val="20"/>
              </w:rPr>
              <w:t>Date approved:</w:t>
            </w:r>
            <w:r w:rsidRPr="00E80147">
              <w:rPr>
                <w:sz w:val="20"/>
                <w:szCs w:val="20"/>
              </w:rPr>
              <w:t xml:space="preserve"> </w:t>
            </w:r>
            <w:r w:rsidR="00203AD5">
              <w:rPr>
                <w:sz w:val="20"/>
                <w:szCs w:val="20"/>
              </w:rPr>
              <w:t>13/01/2025</w:t>
            </w:r>
          </w:p>
        </w:tc>
      </w:tr>
      <w:tr w:rsidR="00F243C6" w:rsidRPr="00E80147" w14:paraId="6FD30B15" w14:textId="77777777" w:rsidTr="1DE2D316">
        <w:trPr>
          <w:trHeight w:val="291"/>
        </w:trPr>
        <w:tc>
          <w:tcPr>
            <w:tcW w:w="6379" w:type="dxa"/>
            <w:gridSpan w:val="2"/>
            <w:vMerge/>
          </w:tcPr>
          <w:p w14:paraId="02EB378F" w14:textId="77777777" w:rsidR="00194867" w:rsidRPr="00E80147" w:rsidRDefault="00194867" w:rsidP="002B0B50">
            <w:pPr>
              <w:pStyle w:val="BodyText"/>
              <w:rPr>
                <w:sz w:val="20"/>
                <w:szCs w:val="20"/>
              </w:rPr>
            </w:pPr>
          </w:p>
        </w:tc>
        <w:tc>
          <w:tcPr>
            <w:tcW w:w="284" w:type="dxa"/>
            <w:vMerge/>
          </w:tcPr>
          <w:p w14:paraId="6A05A809" w14:textId="77777777" w:rsidR="00194867" w:rsidRPr="00E80147" w:rsidRDefault="00194867" w:rsidP="002B0B50">
            <w:pPr>
              <w:pStyle w:val="BodyText"/>
              <w:rPr>
                <w:sz w:val="20"/>
                <w:szCs w:val="20"/>
              </w:rPr>
            </w:pPr>
          </w:p>
        </w:tc>
        <w:tc>
          <w:tcPr>
            <w:tcW w:w="283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B21378C" w14:textId="3D24DE3F" w:rsidR="00194867" w:rsidRPr="00E80147" w:rsidRDefault="00664DA4" w:rsidP="008F04D8">
            <w:pPr>
              <w:pStyle w:val="BodyText"/>
              <w:rPr>
                <w:i/>
                <w:sz w:val="20"/>
                <w:szCs w:val="20"/>
              </w:rPr>
            </w:pPr>
            <w:r>
              <w:rPr>
                <w:b/>
                <w:sz w:val="20"/>
                <w:szCs w:val="20"/>
              </w:rPr>
              <w:t>R</w:t>
            </w:r>
            <w:r w:rsidR="00194867" w:rsidRPr="00E80147">
              <w:rPr>
                <w:b/>
                <w:sz w:val="20"/>
                <w:szCs w:val="20"/>
              </w:rPr>
              <w:t>eview date:</w:t>
            </w:r>
            <w:r w:rsidR="00194867" w:rsidRPr="00E80147">
              <w:rPr>
                <w:sz w:val="20"/>
                <w:szCs w:val="20"/>
              </w:rPr>
              <w:t xml:space="preserve"> </w:t>
            </w:r>
            <w:r w:rsidR="00203AD5">
              <w:rPr>
                <w:sz w:val="20"/>
                <w:szCs w:val="20"/>
              </w:rPr>
              <w:t>13/01/2026</w:t>
            </w:r>
          </w:p>
        </w:tc>
      </w:tr>
      <w:tr w:rsidR="00F243C6" w:rsidRPr="00E80147" w14:paraId="61F4852B" w14:textId="77777777" w:rsidTr="1DE2D316">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360"/>
        </w:trPr>
        <w:tc>
          <w:tcPr>
            <w:tcW w:w="9498" w:type="dxa"/>
            <w:gridSpan w:val="4"/>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E6E6E6"/>
          </w:tcPr>
          <w:p w14:paraId="4ACF4693" w14:textId="77777777" w:rsidR="0039311B" w:rsidRPr="00E80147" w:rsidRDefault="005A7D09" w:rsidP="005D4E7E">
            <w:pPr>
              <w:pStyle w:val="BodyText"/>
              <w:rPr>
                <w:b/>
                <w:sz w:val="20"/>
                <w:szCs w:val="20"/>
                <w:u w:val="single"/>
              </w:rPr>
            </w:pPr>
            <w:r w:rsidRPr="00E80147">
              <w:rPr>
                <w:b/>
                <w:sz w:val="20"/>
                <w:szCs w:val="20"/>
              </w:rPr>
              <w:t xml:space="preserve">Policy context: </w:t>
            </w:r>
          </w:p>
        </w:tc>
      </w:tr>
      <w:tr w:rsidR="00F243C6" w:rsidRPr="00E80147" w14:paraId="4544C3C2" w14:textId="77777777" w:rsidTr="1DE2D316">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311"/>
        </w:trPr>
        <w:tc>
          <w:tcPr>
            <w:tcW w:w="24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54C563C" w14:textId="77777777" w:rsidR="00083A5C" w:rsidRPr="00E80147" w:rsidRDefault="00125B12" w:rsidP="002B0B50">
            <w:pPr>
              <w:pStyle w:val="BodyText"/>
              <w:rPr>
                <w:sz w:val="20"/>
                <w:szCs w:val="20"/>
              </w:rPr>
            </w:pPr>
            <w:r w:rsidRPr="00E80147">
              <w:rPr>
                <w:sz w:val="20"/>
                <w:szCs w:val="20"/>
              </w:rPr>
              <w:t>Standards</w:t>
            </w:r>
            <w:r w:rsidR="00D02EF8" w:rsidRPr="00E80147">
              <w:rPr>
                <w:sz w:val="20"/>
                <w:szCs w:val="20"/>
              </w:rPr>
              <w:t xml:space="preserve"> </w:t>
            </w:r>
            <w:r w:rsidR="001B7E95" w:rsidRPr="00E80147">
              <w:rPr>
                <w:sz w:val="20"/>
                <w:szCs w:val="20"/>
              </w:rPr>
              <w:t>or other</w:t>
            </w:r>
            <w:r w:rsidR="00FC169D" w:rsidRPr="00E80147">
              <w:rPr>
                <w:sz w:val="20"/>
                <w:szCs w:val="20"/>
              </w:rPr>
              <w:t xml:space="preserve"> external requirements</w:t>
            </w:r>
          </w:p>
        </w:tc>
        <w:tc>
          <w:tcPr>
            <w:tcW w:w="7088" w:type="dxa"/>
            <w:gridSpan w:val="3"/>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479155D" w14:textId="37B18AFA" w:rsidR="00181F93" w:rsidRDefault="7B6AF747" w:rsidP="1DE2D316">
            <w:pPr>
              <w:pStyle w:val="BodyText"/>
              <w:rPr>
                <w:sz w:val="20"/>
                <w:szCs w:val="20"/>
              </w:rPr>
            </w:pPr>
            <w:r w:rsidRPr="1DE2D316">
              <w:rPr>
                <w:sz w:val="20"/>
                <w:szCs w:val="20"/>
              </w:rPr>
              <w:t xml:space="preserve"> </w:t>
            </w:r>
          </w:p>
          <w:p w14:paraId="4F28FA1C" w14:textId="09E13B4E" w:rsidR="00664DA4" w:rsidRPr="003C5C82" w:rsidRDefault="00664DA4" w:rsidP="00663A22">
            <w:pPr>
              <w:pStyle w:val="BodyText"/>
              <w:rPr>
                <w:iCs/>
                <w:sz w:val="20"/>
                <w:szCs w:val="20"/>
              </w:rPr>
            </w:pPr>
          </w:p>
        </w:tc>
      </w:tr>
      <w:tr w:rsidR="00F243C6" w:rsidRPr="00E80147" w14:paraId="4E56A156" w14:textId="77777777" w:rsidTr="1DE2D316">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245"/>
        </w:trPr>
        <w:tc>
          <w:tcPr>
            <w:tcW w:w="24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4F0DA73" w14:textId="5A48C68F" w:rsidR="00083A5C" w:rsidRPr="00E80147" w:rsidRDefault="00125B12" w:rsidP="002B0B50">
            <w:pPr>
              <w:pStyle w:val="BodyText"/>
              <w:rPr>
                <w:sz w:val="20"/>
                <w:szCs w:val="20"/>
              </w:rPr>
            </w:pPr>
            <w:r w:rsidRPr="00E80147">
              <w:rPr>
                <w:sz w:val="20"/>
                <w:szCs w:val="20"/>
              </w:rPr>
              <w:t>Legislation or other requirements</w:t>
            </w:r>
          </w:p>
        </w:tc>
        <w:tc>
          <w:tcPr>
            <w:tcW w:w="7088" w:type="dxa"/>
            <w:gridSpan w:val="3"/>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17CDBDF7" w14:textId="09880531" w:rsidR="00CC6A1D" w:rsidRPr="00CC6A1D" w:rsidRDefault="00CC6A1D" w:rsidP="00B96D29">
            <w:pPr>
              <w:pStyle w:val="BodyText"/>
              <w:rPr>
                <w:b/>
                <w:sz w:val="20"/>
                <w:szCs w:val="20"/>
                <w:lang w:val="en-AU"/>
              </w:rPr>
            </w:pPr>
            <w:r w:rsidRPr="00CC6A1D">
              <w:rPr>
                <w:b/>
                <w:sz w:val="20"/>
                <w:szCs w:val="20"/>
                <w:lang w:val="en-AU"/>
              </w:rPr>
              <w:t>AQTF Essential Conditions and Standards for Continuing Registration</w:t>
            </w:r>
            <w:r w:rsidRPr="00B36263">
              <w:rPr>
                <w:sz w:val="20"/>
                <w:szCs w:val="20"/>
                <w:lang w:val="en-AU"/>
              </w:rPr>
              <w:t xml:space="preserve"> </w:t>
            </w:r>
            <w:r>
              <w:rPr>
                <w:sz w:val="20"/>
                <w:szCs w:val="20"/>
                <w:lang w:val="en-AU"/>
              </w:rPr>
              <w:t>Standard</w:t>
            </w:r>
            <w:r w:rsidR="00B96D29" w:rsidRPr="00CC6A1D">
              <w:rPr>
                <w:b/>
                <w:sz w:val="20"/>
                <w:szCs w:val="20"/>
                <w:lang w:val="en-AU"/>
              </w:rPr>
              <w:t xml:space="preserve"> 1</w:t>
            </w:r>
            <w:r w:rsidR="00664DA4" w:rsidRPr="00CC6A1D">
              <w:rPr>
                <w:b/>
                <w:sz w:val="20"/>
                <w:szCs w:val="20"/>
                <w:lang w:val="en-AU"/>
              </w:rPr>
              <w:t xml:space="preserve">: </w:t>
            </w:r>
            <w:r w:rsidR="00B36263" w:rsidRPr="00CC6A1D">
              <w:rPr>
                <w:b/>
                <w:sz w:val="20"/>
                <w:szCs w:val="20"/>
                <w:lang w:val="en-AU"/>
              </w:rPr>
              <w:t xml:space="preserve"> </w:t>
            </w:r>
            <w:r w:rsidRPr="00CC6A1D">
              <w:rPr>
                <w:b/>
                <w:sz w:val="20"/>
                <w:szCs w:val="20"/>
                <w:lang w:val="en-AU"/>
              </w:rPr>
              <w:t>The RTO provides quality training and assessment across all its operations</w:t>
            </w:r>
            <w:bookmarkStart w:id="0" w:name="_GoBack"/>
            <w:bookmarkEnd w:id="0"/>
          </w:p>
          <w:p w14:paraId="68BF2A27" w14:textId="28211274" w:rsidR="00083A5C" w:rsidRDefault="00B36263" w:rsidP="00B96D29">
            <w:pPr>
              <w:pStyle w:val="BodyText"/>
              <w:rPr>
                <w:sz w:val="20"/>
                <w:szCs w:val="20"/>
                <w:lang w:val="en-AU"/>
              </w:rPr>
            </w:pPr>
            <w:r>
              <w:rPr>
                <w:sz w:val="20"/>
                <w:szCs w:val="20"/>
                <w:lang w:val="en-AU"/>
              </w:rPr>
              <w:t xml:space="preserve">Element </w:t>
            </w:r>
            <w:r w:rsidR="00B96D29">
              <w:rPr>
                <w:sz w:val="20"/>
                <w:szCs w:val="20"/>
                <w:lang w:val="en-AU"/>
              </w:rPr>
              <w:t>1</w:t>
            </w:r>
            <w:r>
              <w:rPr>
                <w:sz w:val="20"/>
                <w:szCs w:val="20"/>
                <w:lang w:val="en-AU"/>
              </w:rPr>
              <w:t xml:space="preserve">.1 The </w:t>
            </w:r>
            <w:r w:rsidR="00B96D29">
              <w:rPr>
                <w:sz w:val="20"/>
                <w:szCs w:val="20"/>
                <w:lang w:val="en-AU"/>
              </w:rPr>
              <w:t>RTO collects, analyses and acts on relevant data for continuous improvement of training and assessment</w:t>
            </w:r>
          </w:p>
          <w:p w14:paraId="547B934B" w14:textId="5A39E9F2" w:rsidR="00CC6A1D" w:rsidRDefault="00CC6A1D" w:rsidP="00B96D29">
            <w:pPr>
              <w:pStyle w:val="BodyText"/>
              <w:rPr>
                <w:sz w:val="20"/>
                <w:szCs w:val="20"/>
              </w:rPr>
            </w:pPr>
            <w:r w:rsidRPr="00CC6A1D">
              <w:rPr>
                <w:b/>
                <w:sz w:val="20"/>
                <w:szCs w:val="20"/>
                <w:lang w:val="en-AU"/>
              </w:rPr>
              <w:t xml:space="preserve">AQTF Essential Conditions and Standards for Continuing </w:t>
            </w:r>
            <w:r w:rsidR="00410B5C" w:rsidRPr="00CC6A1D">
              <w:rPr>
                <w:b/>
                <w:sz w:val="20"/>
                <w:szCs w:val="20"/>
                <w:lang w:val="en-AU"/>
              </w:rPr>
              <w:t>Registration Standard</w:t>
            </w:r>
            <w:r w:rsidRPr="00CC6A1D">
              <w:rPr>
                <w:b/>
                <w:sz w:val="20"/>
                <w:szCs w:val="20"/>
              </w:rPr>
              <w:t xml:space="preserve"> 2 – The RTO adheres to principles of access and equity and maximises outcomes for its clients</w:t>
            </w:r>
            <w:r w:rsidRPr="00CC6A1D">
              <w:rPr>
                <w:sz w:val="20"/>
                <w:szCs w:val="20"/>
              </w:rPr>
              <w:t>.</w:t>
            </w:r>
          </w:p>
          <w:p w14:paraId="433DE9DF" w14:textId="5DE64BDC" w:rsidR="00CC6A1D" w:rsidRDefault="00CC6A1D" w:rsidP="00B96D29">
            <w:pPr>
              <w:pStyle w:val="BodyText"/>
              <w:rPr>
                <w:sz w:val="20"/>
                <w:szCs w:val="20"/>
              </w:rPr>
            </w:pPr>
            <w:r w:rsidRPr="00CC6A1D">
              <w:rPr>
                <w:sz w:val="20"/>
                <w:szCs w:val="20"/>
              </w:rPr>
              <w:t>Element 2.2 The RTO continuously improves client services by collecting, analysing and acting upon relevant data</w:t>
            </w:r>
          </w:p>
          <w:p w14:paraId="5B455B4F" w14:textId="77777777" w:rsidR="00CC6A1D" w:rsidRPr="00CC6A1D" w:rsidRDefault="00CC6A1D" w:rsidP="00B96D29">
            <w:pPr>
              <w:pStyle w:val="BodyText"/>
              <w:rPr>
                <w:sz w:val="20"/>
                <w:szCs w:val="20"/>
              </w:rPr>
            </w:pPr>
            <w:r w:rsidRPr="00CC6A1D">
              <w:rPr>
                <w:sz w:val="20"/>
                <w:szCs w:val="20"/>
              </w:rPr>
              <w:t>Element 2.3 Before clients enrol or enter into an agreement, the RTO informs them about the training, assessment and support services to be provided, and about their rights and obligations</w:t>
            </w:r>
          </w:p>
          <w:p w14:paraId="47485D05" w14:textId="21021920" w:rsidR="00CC6A1D" w:rsidRPr="00E80147" w:rsidRDefault="00CC6A1D" w:rsidP="00B96D29">
            <w:pPr>
              <w:pStyle w:val="BodyText"/>
              <w:rPr>
                <w:sz w:val="20"/>
                <w:szCs w:val="20"/>
              </w:rPr>
            </w:pPr>
            <w:r w:rsidRPr="00CC6A1D">
              <w:rPr>
                <w:sz w:val="20"/>
                <w:szCs w:val="20"/>
              </w:rPr>
              <w:t>Element 2.7 The RTO provides appropriate mechanisms and services for learners to have complaints and appeals addressed efficiently and effectively</w:t>
            </w:r>
          </w:p>
        </w:tc>
      </w:tr>
      <w:tr w:rsidR="00F243C6" w:rsidRPr="00E80147" w14:paraId="7DAD2D29" w14:textId="77777777" w:rsidTr="1DE2D316">
        <w:tblPrEx>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Ex>
        <w:trPr>
          <w:trHeight w:val="277"/>
        </w:trPr>
        <w:tc>
          <w:tcPr>
            <w:tcW w:w="24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04A27BC2" w14:textId="77777777" w:rsidR="001E5431" w:rsidRPr="00E80147" w:rsidRDefault="0039311B" w:rsidP="002B0B50">
            <w:pPr>
              <w:pStyle w:val="BodyText"/>
              <w:rPr>
                <w:sz w:val="20"/>
                <w:szCs w:val="20"/>
              </w:rPr>
            </w:pPr>
            <w:r w:rsidRPr="00E80147">
              <w:rPr>
                <w:sz w:val="20"/>
                <w:szCs w:val="20"/>
              </w:rPr>
              <w:t xml:space="preserve">Contractual </w:t>
            </w:r>
            <w:r w:rsidR="000650A3" w:rsidRPr="00E80147">
              <w:rPr>
                <w:sz w:val="20"/>
                <w:szCs w:val="20"/>
              </w:rPr>
              <w:t>obligations</w:t>
            </w:r>
          </w:p>
        </w:tc>
        <w:tc>
          <w:tcPr>
            <w:tcW w:w="7088" w:type="dxa"/>
            <w:gridSpan w:val="3"/>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14:paraId="772C13A3" w14:textId="428ED07E" w:rsidR="001E5431" w:rsidRPr="00E80147" w:rsidRDefault="001E5431" w:rsidP="0B48791D">
            <w:pPr>
              <w:pStyle w:val="BodyText"/>
              <w:rPr>
                <w:sz w:val="20"/>
                <w:szCs w:val="20"/>
              </w:rPr>
            </w:pPr>
          </w:p>
        </w:tc>
      </w:tr>
    </w:tbl>
    <w:p w14:paraId="72A3D3EC" w14:textId="77777777" w:rsidR="005D4E7E" w:rsidRDefault="005D4E7E" w:rsidP="002B0B50">
      <w:pPr>
        <w:pStyle w:val="BodyText"/>
        <w:rPr>
          <w:b/>
        </w:rPr>
      </w:pPr>
    </w:p>
    <w:p w14:paraId="132241E6" w14:textId="77777777" w:rsidR="00311C84" w:rsidRDefault="00311C84" w:rsidP="00311C84">
      <w:pPr>
        <w:pStyle w:val="BodyText"/>
        <w:rPr>
          <w:b/>
        </w:rPr>
      </w:pPr>
      <w:r w:rsidRPr="005D4E7E">
        <w:rPr>
          <w:b/>
        </w:rPr>
        <w:t>OBJECTIVE</w:t>
      </w:r>
    </w:p>
    <w:p w14:paraId="4F78BF44" w14:textId="20ACD1C4" w:rsidR="00311C84" w:rsidRPr="00BE2766" w:rsidRDefault="00311C84" w:rsidP="00311C84">
      <w:pPr>
        <w:rPr>
          <w:sz w:val="20"/>
          <w:szCs w:val="20"/>
        </w:rPr>
      </w:pPr>
      <w:r w:rsidRPr="00BE2766">
        <w:rPr>
          <w:sz w:val="20"/>
          <w:szCs w:val="20"/>
        </w:rPr>
        <w:t xml:space="preserve">This policy </w:t>
      </w:r>
      <w:r w:rsidR="00663A22">
        <w:rPr>
          <w:sz w:val="20"/>
          <w:szCs w:val="20"/>
        </w:rPr>
        <w:t xml:space="preserve">ensures a clear process to follow in </w:t>
      </w:r>
      <w:r w:rsidR="00935B35">
        <w:rPr>
          <w:sz w:val="20"/>
          <w:szCs w:val="20"/>
        </w:rPr>
        <w:t>manage</w:t>
      </w:r>
      <w:r w:rsidR="00663A22">
        <w:rPr>
          <w:sz w:val="20"/>
          <w:szCs w:val="20"/>
        </w:rPr>
        <w:t xml:space="preserve"> complaint</w:t>
      </w:r>
      <w:r w:rsidR="00935B35">
        <w:rPr>
          <w:sz w:val="20"/>
          <w:szCs w:val="20"/>
        </w:rPr>
        <w:t>s</w:t>
      </w:r>
      <w:r w:rsidR="00663A22">
        <w:rPr>
          <w:sz w:val="20"/>
          <w:szCs w:val="20"/>
        </w:rPr>
        <w:t xml:space="preserve"> and/or appeal</w:t>
      </w:r>
      <w:r w:rsidR="00935B35">
        <w:rPr>
          <w:sz w:val="20"/>
          <w:szCs w:val="20"/>
        </w:rPr>
        <w:t>s</w:t>
      </w:r>
      <w:r w:rsidR="00663A22">
        <w:rPr>
          <w:sz w:val="20"/>
          <w:szCs w:val="20"/>
        </w:rPr>
        <w:t xml:space="preserve">. It ensures that all parties involved are kept </w:t>
      </w:r>
      <w:r w:rsidR="007F2442">
        <w:rPr>
          <w:sz w:val="20"/>
          <w:szCs w:val="20"/>
        </w:rPr>
        <w:t>updated with the actions and the results throughout the investigation process.</w:t>
      </w:r>
      <w:r w:rsidRPr="00BE2766">
        <w:rPr>
          <w:sz w:val="20"/>
          <w:szCs w:val="20"/>
        </w:rPr>
        <w:t xml:space="preserve"> </w:t>
      </w:r>
    </w:p>
    <w:p w14:paraId="366E906D" w14:textId="77777777" w:rsidR="00664DA4" w:rsidRDefault="00181F93" w:rsidP="00664DA4">
      <w:pPr>
        <w:pStyle w:val="BodyText"/>
        <w:spacing w:before="240"/>
        <w:rPr>
          <w:b/>
        </w:rPr>
      </w:pPr>
      <w:r w:rsidRPr="000F6CA0">
        <w:rPr>
          <w:b/>
          <w:sz w:val="20"/>
          <w:szCs w:val="20"/>
        </w:rPr>
        <w:br/>
      </w:r>
      <w:r w:rsidR="00311C84">
        <w:rPr>
          <w:b/>
        </w:rPr>
        <w:t>SCOPE</w:t>
      </w:r>
    </w:p>
    <w:p w14:paraId="455089A7" w14:textId="20F8090C" w:rsidR="007F2442" w:rsidRPr="007F2442" w:rsidRDefault="000C7183" w:rsidP="1DE2D316">
      <w:pPr>
        <w:pStyle w:val="BodyText"/>
        <w:rPr>
          <w:b/>
          <w:bCs/>
          <w:sz w:val="20"/>
          <w:szCs w:val="20"/>
        </w:rPr>
      </w:pPr>
      <w:r w:rsidRPr="1DE2D316">
        <w:t xml:space="preserve">The scope of this policy is to ensure that all Inclusion </w:t>
      </w:r>
      <w:r w:rsidR="00663A22" w:rsidRPr="1DE2D316">
        <w:t xml:space="preserve">Training students’ </w:t>
      </w:r>
      <w:proofErr w:type="gramStart"/>
      <w:r w:rsidR="00663A22" w:rsidRPr="1DE2D316">
        <w:t>appeals</w:t>
      </w:r>
      <w:proofErr w:type="gramEnd"/>
      <w:r w:rsidR="00663A22" w:rsidRPr="1DE2D316">
        <w:t xml:space="preserve"> and complaints are </w:t>
      </w:r>
      <w:r w:rsidR="00935B35" w:rsidRPr="1DE2D316">
        <w:t>identified, investigated, responded to, and inform continuous improvement</w:t>
      </w:r>
      <w:r w:rsidR="00663A22" w:rsidRPr="1DE2D316">
        <w:t xml:space="preserve"> in a timely, confidential and sensitive manner.</w:t>
      </w:r>
      <w:r w:rsidR="001A2654" w:rsidRPr="1DE2D316">
        <w:t xml:space="preserve"> For further information on the process for responding to appeals to assessments, please refer to the Appeals Policy &amp; procedure. This policy primarily focuses on the process of managing and responding to complaints, and </w:t>
      </w:r>
      <w:r w:rsidR="001A2654" w:rsidRPr="1DE2D316">
        <w:lastRenderedPageBreak/>
        <w:t>appeals to complaints, and other RTO decisions.</w:t>
      </w:r>
      <w:r w:rsidR="001A2654" w:rsidRPr="1DE2D316">
        <w:rPr>
          <w:sz w:val="20"/>
          <w:szCs w:val="20"/>
        </w:rPr>
        <w:t xml:space="preserve"> </w:t>
      </w:r>
      <w:r>
        <w:br/>
      </w:r>
    </w:p>
    <w:p w14:paraId="6681FFDF" w14:textId="77777777" w:rsidR="007F2442" w:rsidRPr="007F2442" w:rsidRDefault="007F2442" w:rsidP="00311C84">
      <w:pPr>
        <w:pStyle w:val="BodyText"/>
        <w:rPr>
          <w:b/>
          <w:sz w:val="20"/>
          <w:szCs w:val="20"/>
        </w:rPr>
      </w:pPr>
      <w:r w:rsidRPr="007F2442">
        <w:rPr>
          <w:b/>
          <w:sz w:val="20"/>
          <w:szCs w:val="20"/>
        </w:rPr>
        <w:t xml:space="preserve">DEFINITIONS: </w:t>
      </w:r>
    </w:p>
    <w:p w14:paraId="0FECA1EC" w14:textId="77777777" w:rsidR="007F2442" w:rsidRDefault="007F2442" w:rsidP="1DE2D316">
      <w:pPr>
        <w:pStyle w:val="BodyText"/>
      </w:pPr>
      <w:r w:rsidRPr="1DE2D316">
        <w:t>Complaint: A complaint is any expression of dissatisfaction with an action product or service of an education and training provider (or of the registering body) made to the registering body.</w:t>
      </w:r>
    </w:p>
    <w:p w14:paraId="2748905B" w14:textId="040C9003" w:rsidR="007F2442" w:rsidRPr="007F2442" w:rsidRDefault="007F2442" w:rsidP="1DE2D316">
      <w:pPr>
        <w:pStyle w:val="BodyText"/>
        <w:rPr>
          <w:b/>
          <w:bCs/>
        </w:rPr>
      </w:pPr>
      <w:r w:rsidRPr="1DE2D316">
        <w:t xml:space="preserve"> Appeal: An appeal is where a client of an RTO, or interested party, may dispute a decision made by the RTO. The decision made by the RTO may be an assessment decision or may be about any other aspect of the RTO’s operations.</w:t>
      </w:r>
    </w:p>
    <w:p w14:paraId="2F21824C" w14:textId="77777777" w:rsidR="007F2442" w:rsidRDefault="007F2442" w:rsidP="00311C84">
      <w:pPr>
        <w:pStyle w:val="BodyText"/>
        <w:rPr>
          <w:b/>
        </w:rPr>
      </w:pPr>
    </w:p>
    <w:p w14:paraId="69977487" w14:textId="3DBDA2F6" w:rsidR="00311C84" w:rsidRDefault="00311C84" w:rsidP="00311C84">
      <w:pPr>
        <w:pStyle w:val="BodyText"/>
        <w:rPr>
          <w:b/>
          <w:caps/>
        </w:rPr>
      </w:pPr>
      <w:r w:rsidRPr="005D4E7E">
        <w:rPr>
          <w:b/>
          <w:caps/>
        </w:rPr>
        <w:t>Policy Statement</w:t>
      </w:r>
    </w:p>
    <w:p w14:paraId="429EFB71" w14:textId="347D13A1" w:rsidR="00B36263" w:rsidRPr="00B36263" w:rsidRDefault="00311C84" w:rsidP="1DE2D316">
      <w:pPr>
        <w:rPr>
          <w:rFonts w:cs="Arial"/>
          <w:color w:val="0B0C1D"/>
        </w:rPr>
      </w:pPr>
      <w:r w:rsidRPr="1DE2D316">
        <w:t xml:space="preserve">Inclusion Training </w:t>
      </w:r>
      <w:r w:rsidR="007F2442" w:rsidRPr="1DE2D316">
        <w:t xml:space="preserve">is committed to providing quality services (training, assessment and welfare) equally to all students. </w:t>
      </w:r>
      <w:r w:rsidR="00CC6A1D" w:rsidRPr="1DE2D316">
        <w:t>This includes collecting, analysing and acting upon feedback and complaints from students, and taking appropriate measures to efficiently and effectively resolve individual complaints made by students.</w:t>
      </w:r>
    </w:p>
    <w:p w14:paraId="207B38CD" w14:textId="77777777" w:rsidR="00A963BC" w:rsidRDefault="00A963BC" w:rsidP="00311C84">
      <w:pPr>
        <w:rPr>
          <w:sz w:val="20"/>
          <w:szCs w:val="20"/>
        </w:rPr>
      </w:pPr>
    </w:p>
    <w:p w14:paraId="006C3F98" w14:textId="77777777" w:rsidR="007F2442" w:rsidRDefault="007F2442" w:rsidP="00311C84">
      <w:r>
        <w:t xml:space="preserve">Inclusion Training ensures that: </w:t>
      </w:r>
    </w:p>
    <w:p w14:paraId="2C472310" w14:textId="4803BFCC" w:rsidR="00CC6A1D" w:rsidRDefault="00CC6A1D" w:rsidP="003A6E99">
      <w:pPr>
        <w:pStyle w:val="ListParagraph"/>
        <w:numPr>
          <w:ilvl w:val="0"/>
          <w:numId w:val="37"/>
        </w:numPr>
      </w:pPr>
      <w:r>
        <w:t>The complaint and appeals management system are clearly communicated to students in the student handbook and the getting started guide. This includes information on the different ways a complaint or appeal can be made, including:</w:t>
      </w:r>
    </w:p>
    <w:p w14:paraId="52E1DDC9" w14:textId="54BB6FD0" w:rsidR="00CC6A1D" w:rsidRDefault="00F35F6A" w:rsidP="00CC6A1D">
      <w:pPr>
        <w:pStyle w:val="ListParagraph"/>
        <w:numPr>
          <w:ilvl w:val="1"/>
          <w:numId w:val="37"/>
        </w:numPr>
      </w:pPr>
      <w:r>
        <w:t>Making a verbal or written complaint to a trainer/assessor/DSP or another staff member at Inclusion Training</w:t>
      </w:r>
    </w:p>
    <w:p w14:paraId="18A03D38" w14:textId="193F9A46" w:rsidR="00F35F6A" w:rsidRDefault="00F35F6A" w:rsidP="00CC6A1D">
      <w:pPr>
        <w:pStyle w:val="ListParagraph"/>
        <w:numPr>
          <w:ilvl w:val="1"/>
          <w:numId w:val="37"/>
        </w:numPr>
      </w:pPr>
      <w:r>
        <w:t xml:space="preserve">Submitting a complaint/feedback/appeal through the Inclusion Melbourne website </w:t>
      </w:r>
      <w:hyperlink r:id="rId11" w:history="1">
        <w:r w:rsidRPr="00A521AF">
          <w:rPr>
            <w:rStyle w:val="Hyperlink"/>
          </w:rPr>
          <w:t>https://inclusionmelbourne.org.au/about-us/feedback/</w:t>
        </w:r>
      </w:hyperlink>
    </w:p>
    <w:p w14:paraId="3D8AAD36" w14:textId="13FB204A" w:rsidR="00F35F6A" w:rsidRDefault="00F35F6A" w:rsidP="00CC6A1D">
      <w:pPr>
        <w:pStyle w:val="ListParagraph"/>
        <w:numPr>
          <w:ilvl w:val="1"/>
          <w:numId w:val="37"/>
        </w:numPr>
      </w:pPr>
      <w:r>
        <w:t xml:space="preserve">Making a complaint/appeal to the Inclusion Melbourne feedback email </w:t>
      </w:r>
      <w:hyperlink r:id="rId12" w:history="1">
        <w:r w:rsidRPr="00A521AF">
          <w:rPr>
            <w:rStyle w:val="Hyperlink"/>
          </w:rPr>
          <w:t>feedback@inclusion.melbourne</w:t>
        </w:r>
      </w:hyperlink>
    </w:p>
    <w:p w14:paraId="3BB5FBF0" w14:textId="34BF98CF" w:rsidR="00F35F6A" w:rsidRDefault="00F35F6A" w:rsidP="00CC6A1D">
      <w:pPr>
        <w:pStyle w:val="ListParagraph"/>
        <w:numPr>
          <w:ilvl w:val="1"/>
          <w:numId w:val="37"/>
        </w:numPr>
      </w:pPr>
      <w:r>
        <w:t>Providing information on how a student may escalate their complaint if they are unhappy with how Inclusion Training has managed the complaint, such as the TAFE and Training Line as per the DET guidelines (</w:t>
      </w:r>
      <w:r w:rsidRPr="00F35F6A">
        <w:t>https://www.vic.gov.au/make-complaint-student</w:t>
      </w:r>
      <w:r>
        <w:t>)</w:t>
      </w:r>
    </w:p>
    <w:p w14:paraId="3655C03E" w14:textId="3A60A468" w:rsidR="007F2442" w:rsidRDefault="004ECD38" w:rsidP="29CAB300">
      <w:pPr>
        <w:pStyle w:val="ListParagraph"/>
      </w:pPr>
      <w:r>
        <w:t>A</w:t>
      </w:r>
      <w:r w:rsidR="007F2442">
        <w:t xml:space="preserve">ll formal complaints and appeals </w:t>
      </w:r>
      <w:r w:rsidR="00F35F6A">
        <w:t>are recorded and</w:t>
      </w:r>
      <w:r w:rsidR="007F2442">
        <w:t xml:space="preserve"> acknowledged by RTO Manager </w:t>
      </w:r>
      <w:r w:rsidR="00F35F6A">
        <w:t>within 5 business days</w:t>
      </w:r>
    </w:p>
    <w:p w14:paraId="38820505" w14:textId="72C5339B" w:rsidR="003A6E99" w:rsidRDefault="00F35F6A" w:rsidP="003A6E99">
      <w:pPr>
        <w:pStyle w:val="ListParagraph"/>
        <w:numPr>
          <w:ilvl w:val="0"/>
          <w:numId w:val="37"/>
        </w:numPr>
      </w:pPr>
      <w:r>
        <w:t>Depending on the circumstances of the complaint, student’s will be provided with all relevant information pertaining to the complaint, such as student records or assessments. An independent third party, advocate, or support person may be engaged to be part of the complaint resolution process, including participating in meetings to help resolve the complaint or appeal.</w:t>
      </w:r>
      <w:r w:rsidR="007F2442">
        <w:t xml:space="preserve"> </w:t>
      </w:r>
    </w:p>
    <w:p w14:paraId="3FA317E0" w14:textId="1AE6922E" w:rsidR="007F2442" w:rsidRDefault="00F35F6A" w:rsidP="1DE2D316">
      <w:pPr>
        <w:pStyle w:val="ListParagraph"/>
      </w:pPr>
      <w:r>
        <w:t>Student’s will be informed of the</w:t>
      </w:r>
      <w:r w:rsidR="007F2442">
        <w:t xml:space="preserve"> outcome</w:t>
      </w:r>
      <w:r>
        <w:t xml:space="preserve"> of the complaint investigation process</w:t>
      </w:r>
      <w:r w:rsidR="007F2442">
        <w:t xml:space="preserve">, including details </w:t>
      </w:r>
      <w:r>
        <w:t>on</w:t>
      </w:r>
      <w:r w:rsidR="007F2442">
        <w:t xml:space="preserve"> the reasons for the outcome</w:t>
      </w:r>
      <w:r>
        <w:t xml:space="preserve"> and providing opportunities for further responses and information on external organisations they can engage with if </w:t>
      </w:r>
      <w:r>
        <w:lastRenderedPageBreak/>
        <w:t>they are not satisfied with the outcome of the complaint</w:t>
      </w:r>
      <w:r w:rsidR="06CEB12C">
        <w:t xml:space="preserve">. These organisations </w:t>
      </w:r>
      <w:proofErr w:type="gramStart"/>
      <w:r w:rsidR="06CEB12C">
        <w:t xml:space="preserve">include </w:t>
      </w:r>
      <w:r w:rsidR="06CEB12C" w:rsidRPr="1DE2D316">
        <w:rPr>
          <w:rFonts w:eastAsia="Museo Sans 300" w:cs="Museo Sans 300"/>
          <w:color w:val="000000" w:themeColor="text1"/>
          <w:sz w:val="20"/>
          <w:szCs w:val="20"/>
          <w:lang w:val="en-US"/>
        </w:rPr>
        <w:t xml:space="preserve"> </w:t>
      </w:r>
      <w:r w:rsidR="06CEB12C" w:rsidRPr="1DE2D316">
        <w:rPr>
          <w:rFonts w:eastAsia="Museo Sans 300" w:cs="Museo Sans 300"/>
          <w:color w:val="000000" w:themeColor="text1"/>
          <w:lang w:val="en-US"/>
        </w:rPr>
        <w:t>the</w:t>
      </w:r>
      <w:proofErr w:type="gramEnd"/>
      <w:r w:rsidR="06CEB12C" w:rsidRPr="1DE2D316">
        <w:rPr>
          <w:rFonts w:eastAsia="Museo Sans 300" w:cs="Museo Sans 300"/>
          <w:color w:val="000000" w:themeColor="text1"/>
          <w:lang w:val="en-US"/>
        </w:rPr>
        <w:t xml:space="preserve"> VRQA and The National Complaints Hotline.</w:t>
      </w:r>
    </w:p>
    <w:p w14:paraId="67FF05FA" w14:textId="6B0F3329" w:rsidR="007F2442" w:rsidRDefault="007F2442" w:rsidP="1DE2D316">
      <w:pPr>
        <w:pStyle w:val="ListParagraph"/>
        <w:numPr>
          <w:ilvl w:val="0"/>
          <w:numId w:val="0"/>
        </w:numPr>
        <w:ind w:left="720"/>
      </w:pPr>
    </w:p>
    <w:p w14:paraId="52B83917" w14:textId="1F351F85" w:rsidR="003A6E99" w:rsidRPr="003A6E99" w:rsidRDefault="00F35F6A" w:rsidP="003A6E99">
      <w:pPr>
        <w:pStyle w:val="ListParagraph"/>
        <w:numPr>
          <w:ilvl w:val="0"/>
          <w:numId w:val="37"/>
        </w:numPr>
        <w:rPr>
          <w:sz w:val="20"/>
          <w:szCs w:val="20"/>
        </w:rPr>
      </w:pPr>
      <w:r>
        <w:t>All f</w:t>
      </w:r>
      <w:r w:rsidR="007F2442">
        <w:t xml:space="preserve">ormal complaints and appeals </w:t>
      </w:r>
      <w:r>
        <w:t>will aim to be</w:t>
      </w:r>
      <w:r w:rsidR="007F2442">
        <w:t xml:space="preserve"> </w:t>
      </w:r>
      <w:r>
        <w:t>resolved</w:t>
      </w:r>
      <w:r w:rsidR="007F2442">
        <w:t xml:space="preserve"> within 20 calendar days of receiving th</w:t>
      </w:r>
      <w:r w:rsidR="003A6E99">
        <w:t>e written complaint or appeal</w:t>
      </w:r>
      <w:r>
        <w:t xml:space="preserve">. Additional time may be required if a complaint has a higher level of complexity whereby it is unfeasible to resolve them within 30 days. </w:t>
      </w:r>
    </w:p>
    <w:p w14:paraId="5A590E30" w14:textId="77777777" w:rsidR="00A457A2" w:rsidRPr="00A457A2" w:rsidRDefault="003A6E99" w:rsidP="00A457A2">
      <w:pPr>
        <w:pStyle w:val="ListParagraph"/>
        <w:numPr>
          <w:ilvl w:val="0"/>
          <w:numId w:val="37"/>
        </w:numPr>
        <w:rPr>
          <w:sz w:val="20"/>
          <w:szCs w:val="20"/>
        </w:rPr>
      </w:pPr>
      <w:r>
        <w:t xml:space="preserve">If Inclusion Training </w:t>
      </w:r>
      <w:r w:rsidR="007F2442">
        <w:t xml:space="preserve">considers more than 20 calendar days are required to process and finalise the complaint or appeal, the complainant or appellant will be informed of the reasons in writing and will be regularly updated </w:t>
      </w:r>
      <w:r>
        <w:t>on the progress of the matter.</w:t>
      </w:r>
    </w:p>
    <w:p w14:paraId="13F3323E" w14:textId="77777777" w:rsidR="00203AD5" w:rsidRPr="00203AD5" w:rsidRDefault="003A6E99" w:rsidP="00A457A2">
      <w:pPr>
        <w:pStyle w:val="ListParagraph"/>
        <w:numPr>
          <w:ilvl w:val="0"/>
          <w:numId w:val="37"/>
        </w:numPr>
        <w:rPr>
          <w:sz w:val="20"/>
          <w:szCs w:val="20"/>
        </w:rPr>
      </w:pPr>
      <w:r>
        <w:t>Inclusion Training</w:t>
      </w:r>
      <w:r w:rsidR="20927B9A">
        <w:t xml:space="preserve"> </w:t>
      </w:r>
      <w:r w:rsidR="007F2442">
        <w:t xml:space="preserve">respects the rights of students to remain enrolled throughout all stages of any internal and external complaint and/or appeals processes they enter, except in cases of suspension or cancellation of enrolment for serious misbehaviour (suspected criminal activity, a student being a danger to themselves and/or others, etc.). </w:t>
      </w:r>
    </w:p>
    <w:p w14:paraId="157CA05C" w14:textId="77777777" w:rsidR="00203AD5" w:rsidRPr="00203AD5" w:rsidRDefault="00203AD5" w:rsidP="00A457A2">
      <w:pPr>
        <w:pStyle w:val="ListParagraph"/>
        <w:numPr>
          <w:ilvl w:val="0"/>
          <w:numId w:val="37"/>
        </w:numPr>
        <w:rPr>
          <w:sz w:val="20"/>
          <w:szCs w:val="20"/>
        </w:rPr>
      </w:pPr>
      <w:r>
        <w:t>Inclusion Training</w:t>
      </w:r>
      <w:r w:rsidR="007F2442">
        <w:t xml:space="preserve"> maintain</w:t>
      </w:r>
      <w:r>
        <w:t>s</w:t>
      </w:r>
      <w:r w:rsidR="007F2442">
        <w:t xml:space="preserve"> a secure Complaints and Appeals Register, which documents all formal complaints, appeals and their outcomes and ensures open communication with all parties. </w:t>
      </w:r>
    </w:p>
    <w:p w14:paraId="44FD09C8" w14:textId="03270DB5" w:rsidR="007F2442" w:rsidRPr="00A457A2" w:rsidRDefault="00203AD5" w:rsidP="1DE2D316">
      <w:pPr>
        <w:pStyle w:val="ListParagraph"/>
        <w:rPr>
          <w:sz w:val="20"/>
          <w:szCs w:val="20"/>
        </w:rPr>
      </w:pPr>
      <w:r>
        <w:t>All</w:t>
      </w:r>
      <w:r w:rsidR="007F2442">
        <w:t xml:space="preserve"> complaints and appeals, as well as the complaints and </w:t>
      </w:r>
      <w:r>
        <w:t>appeal</w:t>
      </w:r>
      <w:r w:rsidR="007F2442">
        <w:t xml:space="preserve"> policy, will be reviewed as part of the continuous improvement processes and appropriate corrective action</w:t>
      </w:r>
      <w:r>
        <w:t>s will be</w:t>
      </w:r>
      <w:r w:rsidR="007F2442">
        <w:t xml:space="preserve"> taken to eliminate or mitigate the likelihood of recurrence.</w:t>
      </w:r>
      <w:r>
        <w:t xml:space="preserve"> Continuous Improvement activities will be documented in the Continuous Improvement register</w:t>
      </w:r>
      <w:r w:rsidR="4DF382AA">
        <w:t>.</w:t>
      </w:r>
      <w:r>
        <w:t xml:space="preserve"> </w:t>
      </w:r>
      <w:r w:rsidR="007F2442">
        <w:t xml:space="preserve"> </w:t>
      </w:r>
    </w:p>
    <w:p w14:paraId="0D0B940D" w14:textId="77777777" w:rsidR="008F6AED" w:rsidRDefault="008F6AED" w:rsidP="002B0B50">
      <w:pPr>
        <w:pStyle w:val="BodyText"/>
        <w:rPr>
          <w:b/>
          <w:caps/>
        </w:rPr>
      </w:pPr>
    </w:p>
    <w:p w14:paraId="049F31CB" w14:textId="77777777" w:rsidR="00E80147" w:rsidRDefault="00E80147" w:rsidP="005571C5">
      <w:pPr>
        <w:rPr>
          <w:b/>
        </w:rPr>
      </w:pPr>
    </w:p>
    <w:p w14:paraId="7F400E1F" w14:textId="77777777" w:rsidR="00581EE9" w:rsidRPr="00B226BE" w:rsidRDefault="001B2378" w:rsidP="005571C5">
      <w:pPr>
        <w:rPr>
          <w:b/>
          <w:sz w:val="20"/>
          <w:szCs w:val="20"/>
        </w:rPr>
      </w:pPr>
      <w:r w:rsidRPr="00B226BE">
        <w:rPr>
          <w:b/>
          <w:sz w:val="20"/>
          <w:szCs w:val="20"/>
        </w:rPr>
        <w:t xml:space="preserve">DOCUMENTATION </w:t>
      </w:r>
    </w:p>
    <w:tbl>
      <w:tblPr>
        <w:tblW w:w="9360" w:type="dxa"/>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3544"/>
        <w:gridCol w:w="5816"/>
      </w:tblGrid>
      <w:tr w:rsidR="00F243C6" w:rsidRPr="00E80147" w14:paraId="3391BB67" w14:textId="77777777" w:rsidTr="0072281C">
        <w:trPr>
          <w:trHeight w:val="187"/>
        </w:trPr>
        <w:tc>
          <w:tcPr>
            <w:tcW w:w="9360" w:type="dxa"/>
            <w:gridSpan w:val="2"/>
            <w:shd w:val="clear" w:color="auto" w:fill="E6E6E6"/>
          </w:tcPr>
          <w:p w14:paraId="385ED7AC" w14:textId="77777777" w:rsidR="00F058C2" w:rsidRPr="00E80147" w:rsidRDefault="00A7312D" w:rsidP="005571C5">
            <w:pPr>
              <w:rPr>
                <w:b/>
                <w:sz w:val="20"/>
                <w:szCs w:val="20"/>
              </w:rPr>
            </w:pPr>
            <w:r w:rsidRPr="00E80147">
              <w:rPr>
                <w:b/>
                <w:sz w:val="20"/>
                <w:szCs w:val="20"/>
              </w:rPr>
              <w:t>D</w:t>
            </w:r>
            <w:r w:rsidR="00766405" w:rsidRPr="00E80147">
              <w:rPr>
                <w:b/>
                <w:sz w:val="20"/>
                <w:szCs w:val="20"/>
              </w:rPr>
              <w:t>ocuments</w:t>
            </w:r>
            <w:r w:rsidRPr="00E80147">
              <w:rPr>
                <w:b/>
                <w:sz w:val="20"/>
                <w:szCs w:val="20"/>
              </w:rPr>
              <w:t xml:space="preserve"> related to this policy</w:t>
            </w:r>
          </w:p>
        </w:tc>
      </w:tr>
      <w:tr w:rsidR="00F243C6" w:rsidRPr="00E80147" w14:paraId="45D9A049" w14:textId="77777777" w:rsidTr="003C5C82">
        <w:trPr>
          <w:trHeight w:val="347"/>
        </w:trPr>
        <w:tc>
          <w:tcPr>
            <w:tcW w:w="3544" w:type="dxa"/>
          </w:tcPr>
          <w:p w14:paraId="7B4A5A50" w14:textId="77777777" w:rsidR="00766405" w:rsidRPr="00E80147" w:rsidRDefault="00766405" w:rsidP="005571C5">
            <w:pPr>
              <w:rPr>
                <w:sz w:val="20"/>
                <w:szCs w:val="20"/>
              </w:rPr>
            </w:pPr>
            <w:r w:rsidRPr="00E80147">
              <w:rPr>
                <w:sz w:val="20"/>
                <w:szCs w:val="20"/>
              </w:rPr>
              <w:t>Related policies</w:t>
            </w:r>
          </w:p>
        </w:tc>
        <w:tc>
          <w:tcPr>
            <w:tcW w:w="5816" w:type="dxa"/>
          </w:tcPr>
          <w:p w14:paraId="6F265CF0" w14:textId="4CAD0821" w:rsidR="00766405" w:rsidRPr="00E80147" w:rsidRDefault="003C5C82" w:rsidP="005571C5">
            <w:pPr>
              <w:rPr>
                <w:sz w:val="20"/>
                <w:szCs w:val="20"/>
              </w:rPr>
            </w:pPr>
            <w:r w:rsidRPr="003C5C82">
              <w:rPr>
                <w:sz w:val="20"/>
                <w:szCs w:val="20"/>
              </w:rPr>
              <w:t>Training and Assessment Policy and Procedures</w:t>
            </w:r>
            <w:r w:rsidR="00181F93" w:rsidRPr="00E80147">
              <w:rPr>
                <w:sz w:val="20"/>
                <w:szCs w:val="20"/>
              </w:rPr>
              <w:t xml:space="preserve">. </w:t>
            </w:r>
          </w:p>
        </w:tc>
      </w:tr>
      <w:tr w:rsidR="00F243C6" w:rsidRPr="00E80147" w14:paraId="651A0004" w14:textId="77777777" w:rsidTr="003C5C82">
        <w:trPr>
          <w:trHeight w:val="347"/>
        </w:trPr>
        <w:tc>
          <w:tcPr>
            <w:tcW w:w="3544" w:type="dxa"/>
          </w:tcPr>
          <w:p w14:paraId="4B551A27" w14:textId="545D19CB" w:rsidR="00766405" w:rsidRPr="00E80147" w:rsidRDefault="00766405" w:rsidP="005571C5">
            <w:pPr>
              <w:rPr>
                <w:sz w:val="20"/>
                <w:szCs w:val="20"/>
              </w:rPr>
            </w:pPr>
            <w:r w:rsidRPr="00E80147">
              <w:rPr>
                <w:sz w:val="20"/>
                <w:szCs w:val="20"/>
              </w:rPr>
              <w:t>Forms</w:t>
            </w:r>
            <w:r w:rsidR="005A5E0B" w:rsidRPr="00E80147">
              <w:rPr>
                <w:sz w:val="20"/>
                <w:szCs w:val="20"/>
              </w:rPr>
              <w:t xml:space="preserve">, record </w:t>
            </w:r>
            <w:r w:rsidR="00410B5C" w:rsidRPr="00E80147">
              <w:rPr>
                <w:sz w:val="20"/>
                <w:szCs w:val="20"/>
              </w:rPr>
              <w:t>keeping or</w:t>
            </w:r>
            <w:r w:rsidRPr="00E80147">
              <w:rPr>
                <w:sz w:val="20"/>
                <w:szCs w:val="20"/>
              </w:rPr>
              <w:t xml:space="preserve"> </w:t>
            </w:r>
            <w:r w:rsidR="003F2DE2" w:rsidRPr="00E80147">
              <w:rPr>
                <w:sz w:val="20"/>
                <w:szCs w:val="20"/>
              </w:rPr>
              <w:t>other organisational documents</w:t>
            </w:r>
          </w:p>
        </w:tc>
        <w:tc>
          <w:tcPr>
            <w:tcW w:w="5816" w:type="dxa"/>
          </w:tcPr>
          <w:p w14:paraId="32DB69AD" w14:textId="7F17AE11" w:rsidR="00766405" w:rsidRPr="00E80147" w:rsidRDefault="003C5C82" w:rsidP="005571C5">
            <w:pPr>
              <w:rPr>
                <w:sz w:val="20"/>
                <w:szCs w:val="20"/>
              </w:rPr>
            </w:pPr>
            <w:r>
              <w:rPr>
                <w:sz w:val="20"/>
                <w:szCs w:val="20"/>
              </w:rPr>
              <w:t>Enrolment Form, Pre-Training Interview, LLN, Training Plan.</w:t>
            </w:r>
            <w:r w:rsidR="00181F93" w:rsidRPr="00E80147">
              <w:rPr>
                <w:sz w:val="20"/>
                <w:szCs w:val="20"/>
              </w:rPr>
              <w:t xml:space="preserve"> </w:t>
            </w:r>
            <w:r w:rsidR="00F92A5C" w:rsidRPr="00E80147">
              <w:rPr>
                <w:sz w:val="20"/>
                <w:szCs w:val="20"/>
              </w:rPr>
              <w:t xml:space="preserve"> </w:t>
            </w:r>
          </w:p>
        </w:tc>
      </w:tr>
    </w:tbl>
    <w:p w14:paraId="34CE0A41" w14:textId="77777777" w:rsidR="00F10061" w:rsidRPr="00F243C6" w:rsidRDefault="00F10061" w:rsidP="00B55493"/>
    <w:sectPr w:rsidR="00F10061" w:rsidRPr="00F243C6" w:rsidSect="00474782">
      <w:headerReference w:type="default" r:id="rId13"/>
      <w:footerReference w:type="default" r:id="rId14"/>
      <w:pgSz w:w="12240" w:h="15840"/>
      <w:pgMar w:top="1440"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7D781D" w16cex:dateUtc="2025-01-02T02:52:00Z"/>
  <w16cex:commentExtensible w16cex:durableId="7FF51A51" w16cex:dateUtc="2025-01-02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AADA" w14:textId="77777777" w:rsidR="008B3AD8" w:rsidRDefault="008B3AD8" w:rsidP="00B55493">
      <w:r>
        <w:separator/>
      </w:r>
    </w:p>
  </w:endnote>
  <w:endnote w:type="continuationSeparator" w:id="0">
    <w:p w14:paraId="514AE23A" w14:textId="77777777" w:rsidR="008B3AD8" w:rsidRDefault="008B3AD8" w:rsidP="00B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2127"/>
      <w:gridCol w:w="1701"/>
      <w:gridCol w:w="1559"/>
      <w:gridCol w:w="1979"/>
    </w:tblGrid>
    <w:tr w:rsidR="00323657" w:rsidRPr="00323657" w14:paraId="5980C2DD" w14:textId="77777777" w:rsidTr="1DE2D316">
      <w:trPr>
        <w:trHeight w:val="179"/>
      </w:trPr>
      <w:tc>
        <w:tcPr>
          <w:tcW w:w="1559" w:type="dxa"/>
          <w:tcBorders>
            <w:top w:val="single" w:sz="12" w:space="0" w:color="auto"/>
            <w:left w:val="single" w:sz="4" w:space="0" w:color="auto"/>
            <w:bottom w:val="single" w:sz="4" w:space="0" w:color="auto"/>
            <w:right w:val="single" w:sz="4" w:space="0" w:color="auto"/>
          </w:tcBorders>
          <w:vAlign w:val="center"/>
          <w:hideMark/>
        </w:tcPr>
        <w:p w14:paraId="3CA42C68"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Document Name</w:t>
          </w:r>
        </w:p>
      </w:tc>
      <w:tc>
        <w:tcPr>
          <w:tcW w:w="3687" w:type="dxa"/>
          <w:gridSpan w:val="2"/>
          <w:tcBorders>
            <w:top w:val="single" w:sz="12" w:space="0" w:color="auto"/>
            <w:left w:val="single" w:sz="4" w:space="0" w:color="auto"/>
            <w:bottom w:val="single" w:sz="4" w:space="0" w:color="auto"/>
            <w:right w:val="single" w:sz="4" w:space="0" w:color="auto"/>
          </w:tcBorders>
          <w:vAlign w:val="center"/>
          <w:hideMark/>
        </w:tcPr>
        <w:p w14:paraId="01485585" w14:textId="578B825E" w:rsidR="00323657" w:rsidRPr="00323657" w:rsidRDefault="00247C1E" w:rsidP="00323657">
          <w:pPr>
            <w:rPr>
              <w:rFonts w:eastAsia="Times New Roman" w:cs="Calibri"/>
              <w:sz w:val="14"/>
              <w:szCs w:val="14"/>
              <w:lang w:val="en-AU" w:eastAsia="en-US"/>
            </w:rPr>
          </w:pPr>
          <w:r w:rsidRPr="00247C1E">
            <w:rPr>
              <w:rFonts w:eastAsia="Times New Roman" w:cs="Calibri"/>
              <w:sz w:val="14"/>
              <w:szCs w:val="14"/>
              <w:lang w:val="en-AU" w:eastAsia="en-US"/>
            </w:rPr>
            <w:t>RTO Complaints and Appeals Policy and Procedure</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4F058A96" w14:textId="77777777" w:rsidR="00323657" w:rsidRPr="00323657" w:rsidRDefault="00323657" w:rsidP="00323657">
          <w:pPr>
            <w:rPr>
              <w:rFonts w:eastAsia="Times New Roman" w:cs="Calibri"/>
              <w:sz w:val="14"/>
              <w:szCs w:val="14"/>
              <w:lang w:val="en-AU" w:eastAsia="en-US"/>
            </w:rPr>
          </w:pPr>
          <w:r w:rsidRPr="00323657">
            <w:rPr>
              <w:rFonts w:eastAsia="Times New Roman" w:cs="Calibri"/>
              <w:sz w:val="14"/>
              <w:szCs w:val="14"/>
              <w:lang w:val="en-AU" w:eastAsia="en-US"/>
            </w:rPr>
            <w:t>Reference:</w:t>
          </w:r>
        </w:p>
      </w:tc>
      <w:tc>
        <w:tcPr>
          <w:tcW w:w="3538" w:type="dxa"/>
          <w:gridSpan w:val="2"/>
          <w:tcBorders>
            <w:top w:val="single" w:sz="12" w:space="0" w:color="auto"/>
            <w:left w:val="single" w:sz="4" w:space="0" w:color="auto"/>
            <w:bottom w:val="single" w:sz="4" w:space="0" w:color="auto"/>
            <w:right w:val="single" w:sz="4" w:space="0" w:color="auto"/>
          </w:tcBorders>
          <w:vAlign w:val="center"/>
          <w:hideMark/>
        </w:tcPr>
        <w:p w14:paraId="0C769ED7" w14:textId="5ABD9582" w:rsidR="00587CD0" w:rsidRPr="00587CD0" w:rsidRDefault="00587CD0" w:rsidP="00587CD0">
          <w:pPr>
            <w:rPr>
              <w:rFonts w:eastAsia="Times New Roman" w:cs="Calibri"/>
              <w:sz w:val="14"/>
              <w:szCs w:val="14"/>
              <w:lang w:val="en-AU" w:eastAsia="en-US"/>
            </w:rPr>
          </w:pPr>
        </w:p>
        <w:p w14:paraId="4BC82D5A" w14:textId="3DB845D1" w:rsidR="00323657" w:rsidRPr="00323657" w:rsidRDefault="00587CD0" w:rsidP="00587CD0">
          <w:pPr>
            <w:rPr>
              <w:rFonts w:eastAsia="Times New Roman" w:cs="Calibri"/>
              <w:sz w:val="14"/>
              <w:szCs w:val="14"/>
              <w:lang w:val="en-AU" w:eastAsia="en-US"/>
            </w:rPr>
          </w:pPr>
          <w:r w:rsidRPr="00587CD0">
            <w:rPr>
              <w:rFonts w:eastAsia="Times New Roman" w:cs="Calibri"/>
              <w:sz w:val="14"/>
              <w:szCs w:val="14"/>
              <w:lang w:val="en-AU" w:eastAsia="en-US"/>
            </w:rPr>
            <w:t>AQTF Standards for continuing registration</w:t>
          </w:r>
        </w:p>
      </w:tc>
    </w:tr>
    <w:tr w:rsidR="00323657" w:rsidRPr="00323657" w14:paraId="42F620CE" w14:textId="77777777" w:rsidTr="1DE2D316">
      <w:trPr>
        <w:trHeight w:val="261"/>
      </w:trPr>
      <w:tc>
        <w:tcPr>
          <w:tcW w:w="1559" w:type="dxa"/>
          <w:tcBorders>
            <w:top w:val="single" w:sz="4" w:space="0" w:color="auto"/>
            <w:left w:val="single" w:sz="4" w:space="0" w:color="auto"/>
            <w:bottom w:val="single" w:sz="4" w:space="0" w:color="auto"/>
            <w:right w:val="single" w:sz="4" w:space="0" w:color="auto"/>
          </w:tcBorders>
          <w:vAlign w:val="center"/>
          <w:hideMark/>
        </w:tcPr>
        <w:p w14:paraId="3BC08B13"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Issue Date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A43C3B" w14:textId="17AD2B34" w:rsidR="00323657" w:rsidRPr="00323657" w:rsidRDefault="00203AD5" w:rsidP="00323657">
          <w:pPr>
            <w:rPr>
              <w:rFonts w:eastAsia="Times New Roman" w:cs="Calibri"/>
              <w:sz w:val="20"/>
              <w:lang w:val="en-AU" w:eastAsia="en-US"/>
            </w:rPr>
          </w:pPr>
          <w:r>
            <w:rPr>
              <w:rFonts w:eastAsia="Times New Roman" w:cs="Calibri"/>
              <w:noProof/>
              <w:sz w:val="14"/>
              <w:szCs w:val="14"/>
              <w:lang w:val="en-AU" w:eastAsia="en-US"/>
            </w:rPr>
            <w:t>13/01/2025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A78598"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CC9BF" w14:textId="4925DC1F" w:rsidR="00323657" w:rsidRPr="00323657" w:rsidRDefault="00203AD5" w:rsidP="00323657">
          <w:pPr>
            <w:rPr>
              <w:rFonts w:eastAsia="Times New Roman" w:cs="Calibri"/>
              <w:sz w:val="20"/>
              <w:lang w:val="en-AU" w:eastAsia="en-US"/>
            </w:rPr>
          </w:pPr>
          <w:r>
            <w:rPr>
              <w:rFonts w:eastAsia="Times New Roman" w:cs="Calibri"/>
              <w:noProof/>
              <w:sz w:val="14"/>
              <w:szCs w:val="14"/>
              <w:lang w:val="en-AU" w:eastAsia="en-US"/>
            </w:rPr>
            <w:t>13/01/2026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9480B3" w14:textId="77777777" w:rsidR="00323657" w:rsidRPr="00323657" w:rsidRDefault="00323657" w:rsidP="00323657">
          <w:pPr>
            <w:rPr>
              <w:rFonts w:eastAsia="Times New Roman" w:cs="Calibri"/>
              <w:b/>
              <w:sz w:val="14"/>
              <w:szCs w:val="14"/>
              <w:lang w:val="en-AU" w:eastAsia="en-US"/>
            </w:rPr>
          </w:pPr>
          <w:r w:rsidRPr="00323657">
            <w:rPr>
              <w:rFonts w:eastAsia="Times New Roman" w:cs="Calibri"/>
              <w:b/>
              <w:sz w:val="14"/>
              <w:szCs w:val="14"/>
              <w:lang w:val="en-AU" w:eastAsia="en-US"/>
            </w:rPr>
            <w:t>Version No.</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11A2479" w14:textId="121A9736" w:rsidR="00323657" w:rsidRPr="00323657" w:rsidRDefault="00203AD5" w:rsidP="00323657">
          <w:pPr>
            <w:rPr>
              <w:rFonts w:eastAsia="Times New Roman" w:cs="Calibri"/>
              <w:sz w:val="14"/>
              <w:szCs w:val="14"/>
              <w:lang w:val="en-AU" w:eastAsia="en-US"/>
            </w:rPr>
          </w:pPr>
          <w:r>
            <w:rPr>
              <w:rFonts w:eastAsia="Times New Roman" w:cs="Calibri"/>
              <w:sz w:val="14"/>
              <w:szCs w:val="14"/>
              <w:lang w:val="en-AU" w:eastAsia="en-US"/>
            </w:rPr>
            <w:t>2</w:t>
          </w:r>
        </w:p>
      </w:tc>
    </w:tr>
    <w:tr w:rsidR="00323657" w:rsidRPr="00323657" w14:paraId="6322089C" w14:textId="77777777" w:rsidTr="1DE2D316">
      <w:trPr>
        <w:trHeight w:val="277"/>
      </w:trPr>
      <w:tc>
        <w:tcPr>
          <w:tcW w:w="85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5596C" w14:textId="77777777" w:rsidR="00323657" w:rsidRPr="00323657" w:rsidRDefault="00323657" w:rsidP="00323657">
          <w:pPr>
            <w:jc w:val="center"/>
            <w:rPr>
              <w:rFonts w:eastAsia="Times New Roman" w:cs="Calibri"/>
              <w:i/>
              <w:sz w:val="14"/>
              <w:szCs w:val="14"/>
              <w:lang w:val="en-AU" w:eastAsia="en-US"/>
            </w:rPr>
          </w:pPr>
          <w:r w:rsidRPr="00323657">
            <w:rPr>
              <w:rFonts w:eastAsia="Times New Roman" w:cs="Calibri"/>
              <w:i/>
              <w:sz w:val="14"/>
              <w:szCs w:val="14"/>
              <w:lang w:val="en-AU" w:eastAsia="en-US"/>
            </w:rPr>
            <w:t>Document Control Management – Uncontrolled when printed</w:t>
          </w:r>
        </w:p>
      </w:tc>
      <w:tc>
        <w:tcPr>
          <w:tcW w:w="1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54753A" w14:textId="77777777" w:rsidR="00323657" w:rsidRPr="00323657" w:rsidRDefault="00323657" w:rsidP="00323657">
          <w:pPr>
            <w:rPr>
              <w:rFonts w:eastAsia="Times New Roman" w:cs="Calibri"/>
              <w:i/>
              <w:sz w:val="14"/>
              <w:szCs w:val="14"/>
              <w:lang w:val="en-AU" w:eastAsia="en-US"/>
            </w:rPr>
          </w:pPr>
          <w:r w:rsidRPr="00323657">
            <w:rPr>
              <w:rFonts w:eastAsia="Times New Roman" w:cs="Calibri"/>
              <w:i/>
              <w:sz w:val="14"/>
              <w:szCs w:val="14"/>
              <w:lang w:val="en-AU" w:eastAsia="en-US"/>
            </w:rPr>
            <w:t xml:space="preserve">Page </w:t>
          </w:r>
          <w:r w:rsidRPr="00323657">
            <w:rPr>
              <w:rFonts w:eastAsia="Times New Roman" w:cs="Calibri"/>
              <w:b/>
              <w:i/>
              <w:sz w:val="14"/>
              <w:szCs w:val="14"/>
              <w:lang w:val="en-AU" w:eastAsia="en-US"/>
            </w:rPr>
            <w:fldChar w:fldCharType="begin"/>
          </w:r>
          <w:r w:rsidRPr="00323657">
            <w:rPr>
              <w:rFonts w:eastAsia="Times New Roman" w:cs="Calibri"/>
              <w:b/>
              <w:i/>
              <w:sz w:val="14"/>
              <w:szCs w:val="14"/>
              <w:lang w:val="en-AU" w:eastAsia="en-US"/>
            </w:rPr>
            <w:instrText xml:space="preserve"> PAGE  \* Arabic  \* MERGEFORMAT </w:instrText>
          </w:r>
          <w:r w:rsidRPr="00323657">
            <w:rPr>
              <w:rFonts w:eastAsia="Times New Roman" w:cs="Calibri"/>
              <w:b/>
              <w:i/>
              <w:sz w:val="14"/>
              <w:szCs w:val="14"/>
              <w:lang w:val="en-AU" w:eastAsia="en-US"/>
            </w:rPr>
            <w:fldChar w:fldCharType="separate"/>
          </w:r>
          <w:r w:rsidR="0026102E">
            <w:rPr>
              <w:rFonts w:eastAsia="Times New Roman" w:cs="Calibri"/>
              <w:b/>
              <w:i/>
              <w:noProof/>
              <w:sz w:val="14"/>
              <w:szCs w:val="14"/>
              <w:lang w:val="en-AU" w:eastAsia="en-US"/>
            </w:rPr>
            <w:t>2</w:t>
          </w:r>
          <w:r w:rsidRPr="00323657">
            <w:rPr>
              <w:rFonts w:eastAsia="Times New Roman" w:cs="Calibri"/>
              <w:b/>
              <w:i/>
              <w:sz w:val="14"/>
              <w:szCs w:val="14"/>
              <w:lang w:val="en-AU" w:eastAsia="en-US"/>
            </w:rPr>
            <w:fldChar w:fldCharType="end"/>
          </w:r>
          <w:r w:rsidRPr="00323657">
            <w:rPr>
              <w:rFonts w:eastAsia="Times New Roman" w:cs="Calibri"/>
              <w:i/>
              <w:sz w:val="14"/>
              <w:szCs w:val="14"/>
              <w:lang w:val="en-AU" w:eastAsia="en-US"/>
            </w:rPr>
            <w:t xml:space="preserve"> of </w:t>
          </w:r>
          <w:r w:rsidRPr="00323657">
            <w:rPr>
              <w:rFonts w:eastAsia="Times New Roman" w:cs="Calibri"/>
              <w:b/>
              <w:i/>
              <w:sz w:val="14"/>
              <w:szCs w:val="14"/>
              <w:lang w:val="en-AU" w:eastAsia="en-US"/>
            </w:rPr>
            <w:fldChar w:fldCharType="begin"/>
          </w:r>
          <w:r w:rsidRPr="00323657">
            <w:rPr>
              <w:rFonts w:eastAsia="Times New Roman" w:cs="Calibri"/>
              <w:b/>
              <w:i/>
              <w:sz w:val="14"/>
              <w:szCs w:val="14"/>
              <w:lang w:val="en-AU" w:eastAsia="en-US"/>
            </w:rPr>
            <w:instrText xml:space="preserve"> NUMPAGES  \* Arabic  \* MERGEFORMAT </w:instrText>
          </w:r>
          <w:r w:rsidRPr="00323657">
            <w:rPr>
              <w:rFonts w:eastAsia="Times New Roman" w:cs="Calibri"/>
              <w:b/>
              <w:i/>
              <w:sz w:val="14"/>
              <w:szCs w:val="14"/>
              <w:lang w:val="en-AU" w:eastAsia="en-US"/>
            </w:rPr>
            <w:fldChar w:fldCharType="separate"/>
          </w:r>
          <w:r w:rsidR="0026102E">
            <w:rPr>
              <w:rFonts w:eastAsia="Times New Roman" w:cs="Calibri"/>
              <w:b/>
              <w:i/>
              <w:noProof/>
              <w:sz w:val="14"/>
              <w:szCs w:val="14"/>
              <w:lang w:val="en-AU" w:eastAsia="en-US"/>
            </w:rPr>
            <w:t>5</w:t>
          </w:r>
          <w:r w:rsidRPr="00323657">
            <w:rPr>
              <w:rFonts w:eastAsia="Times New Roman" w:cs="Calibri"/>
              <w:b/>
              <w:i/>
              <w:sz w:val="14"/>
              <w:szCs w:val="14"/>
              <w:lang w:val="en-AU" w:eastAsia="en-US"/>
            </w:rPr>
            <w:fldChar w:fldCharType="end"/>
          </w:r>
        </w:p>
      </w:tc>
    </w:tr>
  </w:tbl>
  <w:p w14:paraId="110FFD37" w14:textId="77777777" w:rsidR="00181F93" w:rsidRDefault="0018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8FBC" w14:textId="77777777" w:rsidR="008B3AD8" w:rsidRDefault="008B3AD8" w:rsidP="00B55493">
      <w:r>
        <w:separator/>
      </w:r>
    </w:p>
  </w:footnote>
  <w:footnote w:type="continuationSeparator" w:id="0">
    <w:p w14:paraId="0404CAE1" w14:textId="77777777" w:rsidR="008B3AD8" w:rsidRDefault="008B3AD8" w:rsidP="00B5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181F93" w:rsidRDefault="00181F93" w:rsidP="00B55493">
    <w:pPr>
      <w:pStyle w:val="Header"/>
    </w:pPr>
  </w:p>
  <w:p w14:paraId="4A992333" w14:textId="77777777" w:rsidR="00664DA4" w:rsidRDefault="00664DA4" w:rsidP="00664DA4">
    <w:pPr>
      <w:tabs>
        <w:tab w:val="left" w:pos="3166"/>
      </w:tabs>
      <w:rPr>
        <w:rFonts w:eastAsia="Times New Roman" w:cs="Times New Roman"/>
        <w:b/>
        <w:sz w:val="24"/>
        <w:szCs w:val="24"/>
        <w:lang w:val="en-US" w:eastAsia="en-US"/>
      </w:rPr>
    </w:pPr>
    <w:r w:rsidRPr="00664DA4">
      <w:rPr>
        <w:rFonts w:eastAsia="Times New Roman" w:cs="Times New Roman"/>
        <w:b/>
        <w:sz w:val="24"/>
        <w:szCs w:val="24"/>
        <w:lang w:val="en-US" w:eastAsia="en-US"/>
      </w:rPr>
      <w:t xml:space="preserve">                                                                                         </w:t>
    </w:r>
    <w:r w:rsidRPr="00664DA4">
      <w:rPr>
        <w:rFonts w:eastAsia="Times New Roman" w:cs="Times New Roman"/>
        <w:noProof/>
        <w:sz w:val="24"/>
        <w:szCs w:val="24"/>
        <w:lang w:val="en-AU"/>
      </w:rPr>
      <w:drawing>
        <wp:inline distT="0" distB="0" distL="0" distR="0" wp14:anchorId="3F3FABE7" wp14:editId="08B297BC">
          <wp:extent cx="14305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Training_Logo_Tall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560" cy="541020"/>
                  </a:xfrm>
                  <a:prstGeom prst="rect">
                    <a:avLst/>
                  </a:prstGeom>
                </pic:spPr>
              </pic:pic>
            </a:graphicData>
          </a:graphic>
        </wp:inline>
      </w:drawing>
    </w:r>
  </w:p>
  <w:p w14:paraId="2D46F3E7" w14:textId="4C970047" w:rsidR="00664DA4" w:rsidRPr="00664DA4" w:rsidRDefault="00247C1E" w:rsidP="00664DA4">
    <w:pPr>
      <w:tabs>
        <w:tab w:val="left" w:pos="3166"/>
      </w:tabs>
      <w:rPr>
        <w:rFonts w:eastAsia="Times New Roman" w:cs="Times New Roman"/>
        <w:b/>
        <w:sz w:val="24"/>
        <w:szCs w:val="24"/>
        <w:lang w:val="en-US" w:eastAsia="en-US"/>
      </w:rPr>
    </w:pPr>
    <w:r>
      <w:rPr>
        <w:rFonts w:eastAsia="Times New Roman" w:cs="Times New Roman"/>
        <w:b/>
        <w:sz w:val="24"/>
        <w:szCs w:val="24"/>
        <w:lang w:val="en-US" w:eastAsia="en-US"/>
      </w:rPr>
      <w:t>RTO Complaints and Appeals Policy and Procedure</w:t>
    </w:r>
  </w:p>
  <w:p w14:paraId="3FE9F23F" w14:textId="39BEAF8C" w:rsidR="00181F93" w:rsidRPr="00664DA4" w:rsidRDefault="00664DA4" w:rsidP="00664DA4">
    <w:pPr>
      <w:tabs>
        <w:tab w:val="center" w:pos="4513"/>
        <w:tab w:val="right" w:pos="9026"/>
      </w:tabs>
      <w:rPr>
        <w:rFonts w:eastAsia="Times New Roman" w:cs="Times New Roman"/>
        <w:sz w:val="16"/>
        <w:szCs w:val="16"/>
        <w:lang w:val="en-AU" w:eastAsia="en-US"/>
      </w:rPr>
    </w:pPr>
    <w:r w:rsidRPr="00664DA4">
      <w:rPr>
        <w:rFonts w:eastAsia="Times New Roman" w:cs="Times New Roman"/>
        <w:sz w:val="16"/>
        <w:szCs w:val="16"/>
        <w:lang w:val="en-AU" w:eastAsia="en-US"/>
      </w:rPr>
      <w:t xml:space="preserve">                                                                                                                                                                  RTO No: 6406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B622000"/>
    <w:lvl w:ilvl="0">
      <w:start w:val="1"/>
      <w:numFmt w:val="decimal"/>
      <w:pStyle w:val="ListNumber"/>
      <w:lvlText w:val="%1."/>
      <w:lvlJc w:val="left"/>
      <w:pPr>
        <w:ind w:left="786" w:hanging="360"/>
      </w:pPr>
      <w:rPr>
        <w:rFonts w:hint="eastAsia"/>
      </w:rPr>
    </w:lvl>
  </w:abstractNum>
  <w:abstractNum w:abstractNumId="1" w15:restartNumberingAfterBreak="0">
    <w:nsid w:val="009E5DB3"/>
    <w:multiLevelType w:val="hybridMultilevel"/>
    <w:tmpl w:val="DA7A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053A8"/>
    <w:multiLevelType w:val="hybridMultilevel"/>
    <w:tmpl w:val="2036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C0981"/>
    <w:multiLevelType w:val="hybridMultilevel"/>
    <w:tmpl w:val="7DC09268"/>
    <w:lvl w:ilvl="0" w:tplc="B030CAD6">
      <w:start w:val="1"/>
      <w:numFmt w:val="bullet"/>
      <w:lvlText w:val=""/>
      <w:lvlJc w:val="left"/>
      <w:pPr>
        <w:tabs>
          <w:tab w:val="num" w:pos="340"/>
        </w:tabs>
        <w:ind w:left="340" w:hanging="340"/>
      </w:pPr>
      <w:rPr>
        <w:rFonts w:ascii="Wingdings" w:hAnsi="Wingdings" w:hint="default"/>
      </w:rPr>
    </w:lvl>
    <w:lvl w:ilvl="1" w:tplc="37E6FF66">
      <w:start w:val="1"/>
      <w:numFmt w:val="bullet"/>
      <w:lvlText w:val=""/>
      <w:lvlJc w:val="left"/>
      <w:pPr>
        <w:tabs>
          <w:tab w:val="num" w:pos="340"/>
        </w:tabs>
        <w:ind w:left="340" w:hanging="34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C0DF9"/>
    <w:multiLevelType w:val="hybridMultilevel"/>
    <w:tmpl w:val="768C4850"/>
    <w:lvl w:ilvl="0" w:tplc="095EA85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C1FCD"/>
    <w:multiLevelType w:val="hybridMultilevel"/>
    <w:tmpl w:val="6310E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ED558A"/>
    <w:multiLevelType w:val="hybridMultilevel"/>
    <w:tmpl w:val="B7166E32"/>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556E"/>
    <w:multiLevelType w:val="hybridMultilevel"/>
    <w:tmpl w:val="66A8B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8970C3"/>
    <w:multiLevelType w:val="hybridMultilevel"/>
    <w:tmpl w:val="37F6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573BC"/>
    <w:multiLevelType w:val="hybridMultilevel"/>
    <w:tmpl w:val="BD969732"/>
    <w:lvl w:ilvl="0" w:tplc="D084DE5C">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38148F"/>
    <w:multiLevelType w:val="multilevel"/>
    <w:tmpl w:val="B7C6D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F7DAB"/>
    <w:multiLevelType w:val="hybridMultilevel"/>
    <w:tmpl w:val="9A4CBE6A"/>
    <w:lvl w:ilvl="0" w:tplc="1E920E7E">
      <w:start w:val="1"/>
      <w:numFmt w:val="decimal"/>
      <w:lvlText w:val="%1"/>
      <w:lvlJc w:val="left"/>
      <w:pPr>
        <w:ind w:left="508" w:hanging="312"/>
      </w:pPr>
      <w:rPr>
        <w:rFonts w:ascii="Tahoma" w:eastAsia="Tahoma" w:hAnsi="Tahoma" w:hint="default"/>
        <w:sz w:val="24"/>
        <w:szCs w:val="24"/>
      </w:rPr>
    </w:lvl>
    <w:lvl w:ilvl="1" w:tplc="DF58F1C4">
      <w:start w:val="1"/>
      <w:numFmt w:val="decimal"/>
      <w:lvlText w:val="%2."/>
      <w:lvlJc w:val="left"/>
      <w:pPr>
        <w:ind w:left="1317" w:hanging="324"/>
      </w:pPr>
      <w:rPr>
        <w:rFonts w:ascii="Museo Sans 300" w:hAnsi="Museo Sans 300" w:hint="default"/>
        <w:spacing w:val="-1"/>
        <w:sz w:val="22"/>
        <w:szCs w:val="22"/>
      </w:rPr>
    </w:lvl>
    <w:lvl w:ilvl="2" w:tplc="FB081D00">
      <w:start w:val="1"/>
      <w:numFmt w:val="bullet"/>
      <w:lvlText w:val="•"/>
      <w:lvlJc w:val="left"/>
      <w:pPr>
        <w:ind w:left="1128" w:hanging="324"/>
      </w:pPr>
      <w:rPr>
        <w:rFonts w:hint="default"/>
      </w:rPr>
    </w:lvl>
    <w:lvl w:ilvl="3" w:tplc="03F8BFBC">
      <w:start w:val="1"/>
      <w:numFmt w:val="bullet"/>
      <w:lvlText w:val="•"/>
      <w:lvlJc w:val="left"/>
      <w:pPr>
        <w:ind w:left="1365" w:hanging="324"/>
      </w:pPr>
      <w:rPr>
        <w:rFonts w:hint="default"/>
      </w:rPr>
    </w:lvl>
    <w:lvl w:ilvl="4" w:tplc="2B9A3B4C">
      <w:start w:val="1"/>
      <w:numFmt w:val="bullet"/>
      <w:lvlText w:val="•"/>
      <w:lvlJc w:val="left"/>
      <w:pPr>
        <w:ind w:left="1602" w:hanging="324"/>
      </w:pPr>
      <w:rPr>
        <w:rFonts w:hint="default"/>
      </w:rPr>
    </w:lvl>
    <w:lvl w:ilvl="5" w:tplc="5F8837BE">
      <w:start w:val="1"/>
      <w:numFmt w:val="bullet"/>
      <w:lvlText w:val="•"/>
      <w:lvlJc w:val="left"/>
      <w:pPr>
        <w:ind w:left="1839" w:hanging="324"/>
      </w:pPr>
      <w:rPr>
        <w:rFonts w:hint="default"/>
      </w:rPr>
    </w:lvl>
    <w:lvl w:ilvl="6" w:tplc="D7B4CA10">
      <w:start w:val="1"/>
      <w:numFmt w:val="bullet"/>
      <w:lvlText w:val="•"/>
      <w:lvlJc w:val="left"/>
      <w:pPr>
        <w:ind w:left="2077" w:hanging="324"/>
      </w:pPr>
      <w:rPr>
        <w:rFonts w:hint="default"/>
      </w:rPr>
    </w:lvl>
    <w:lvl w:ilvl="7" w:tplc="7D5CD930">
      <w:start w:val="1"/>
      <w:numFmt w:val="bullet"/>
      <w:lvlText w:val="•"/>
      <w:lvlJc w:val="left"/>
      <w:pPr>
        <w:ind w:left="2314" w:hanging="324"/>
      </w:pPr>
      <w:rPr>
        <w:rFonts w:hint="default"/>
      </w:rPr>
    </w:lvl>
    <w:lvl w:ilvl="8" w:tplc="82DE0766">
      <w:start w:val="1"/>
      <w:numFmt w:val="bullet"/>
      <w:lvlText w:val="•"/>
      <w:lvlJc w:val="left"/>
      <w:pPr>
        <w:ind w:left="2551" w:hanging="324"/>
      </w:pPr>
      <w:rPr>
        <w:rFonts w:hint="default"/>
      </w:rPr>
    </w:lvl>
  </w:abstractNum>
  <w:abstractNum w:abstractNumId="12" w15:restartNumberingAfterBreak="0">
    <w:nsid w:val="30BA0184"/>
    <w:multiLevelType w:val="hybridMultilevel"/>
    <w:tmpl w:val="B25E6C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941432"/>
    <w:multiLevelType w:val="hybridMultilevel"/>
    <w:tmpl w:val="F54CFA80"/>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4C5A2A"/>
    <w:multiLevelType w:val="hybridMultilevel"/>
    <w:tmpl w:val="74322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790289A"/>
    <w:multiLevelType w:val="hybridMultilevel"/>
    <w:tmpl w:val="AA9490C0"/>
    <w:lvl w:ilvl="0" w:tplc="D39C989A">
      <w:start w:val="1"/>
      <w:numFmt w:val="bullet"/>
      <w:lvlText w:val=""/>
      <w:lvlJc w:val="left"/>
      <w:pPr>
        <w:tabs>
          <w:tab w:val="num" w:pos="360"/>
        </w:tabs>
        <w:ind w:left="360" w:hanging="360"/>
      </w:pPr>
      <w:rPr>
        <w:rFonts w:ascii="Wingdings" w:hAnsi="Wingdings" w:hint="default"/>
        <w:sz w:val="20"/>
      </w:rPr>
    </w:lvl>
    <w:lvl w:ilvl="1" w:tplc="00010409">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1A20CA"/>
    <w:multiLevelType w:val="hybridMultilevel"/>
    <w:tmpl w:val="23946BA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E3F8F"/>
    <w:multiLevelType w:val="hybridMultilevel"/>
    <w:tmpl w:val="6C628C96"/>
    <w:lvl w:ilvl="0" w:tplc="D39C989A">
      <w:start w:val="1"/>
      <w:numFmt w:val="bullet"/>
      <w:lvlText w:val=""/>
      <w:lvlJc w:val="left"/>
      <w:pPr>
        <w:tabs>
          <w:tab w:val="num" w:pos="360"/>
        </w:tabs>
        <w:ind w:left="360" w:hanging="360"/>
      </w:pPr>
      <w:rPr>
        <w:rFonts w:ascii="Wingdings" w:hAnsi="Wingdings"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46775"/>
    <w:multiLevelType w:val="multilevel"/>
    <w:tmpl w:val="9F2E17F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4104126"/>
    <w:multiLevelType w:val="hybridMultilevel"/>
    <w:tmpl w:val="40DA443E"/>
    <w:lvl w:ilvl="0" w:tplc="FD787132">
      <w:start w:val="1"/>
      <w:numFmt w:val="bullet"/>
      <w:lvlText w:val=""/>
      <w:lvlJc w:val="left"/>
      <w:pPr>
        <w:tabs>
          <w:tab w:val="num" w:pos="340"/>
        </w:tabs>
        <w:ind w:left="340" w:hanging="340"/>
      </w:pPr>
      <w:rPr>
        <w:rFonts w:ascii="Wingdings" w:hAnsi="Wingdings" w:hint="default"/>
        <w:w w:val="0"/>
        <w:sz w:val="20"/>
        <w:szCs w:val="20"/>
      </w:rPr>
    </w:lvl>
    <w:lvl w:ilvl="1" w:tplc="F6329490">
      <w:start w:val="1"/>
      <w:numFmt w:val="bullet"/>
      <w:lvlText w:val=""/>
      <w:lvlJc w:val="left"/>
      <w:pPr>
        <w:tabs>
          <w:tab w:val="num" w:pos="680"/>
        </w:tabs>
        <w:ind w:left="680" w:hanging="340"/>
      </w:pPr>
      <w:rPr>
        <w:rFonts w:ascii="Wingdings" w:hAnsi="Wingdings" w:hint="default"/>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6E6DA8"/>
    <w:multiLevelType w:val="hybridMultilevel"/>
    <w:tmpl w:val="08227514"/>
    <w:lvl w:ilvl="0" w:tplc="DBD2BC96">
      <w:start w:val="1"/>
      <w:numFmt w:val="bullet"/>
      <w:lvlText w:val="o"/>
      <w:lvlJc w:val="left"/>
      <w:pPr>
        <w:tabs>
          <w:tab w:val="num" w:pos="720"/>
        </w:tabs>
        <w:ind w:left="720" w:hanging="360"/>
      </w:pPr>
      <w:rPr>
        <w:rFonts w:ascii="Courier New" w:hAnsi="Courier New" w:hint="default"/>
        <w:color w:val="auto"/>
        <w:sz w:val="16"/>
        <w:szCs w:val="2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C52EAA"/>
    <w:multiLevelType w:val="hybridMultilevel"/>
    <w:tmpl w:val="BAAAB5F8"/>
    <w:lvl w:ilvl="0" w:tplc="FD78713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C15F99"/>
    <w:multiLevelType w:val="hybridMultilevel"/>
    <w:tmpl w:val="5600B7E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753F1"/>
    <w:multiLevelType w:val="hybridMultilevel"/>
    <w:tmpl w:val="FDF8A180"/>
    <w:lvl w:ilvl="0" w:tplc="D39C989A">
      <w:start w:val="1"/>
      <w:numFmt w:val="bullet"/>
      <w:lvlText w:val=""/>
      <w:lvlJc w:val="left"/>
      <w:pPr>
        <w:tabs>
          <w:tab w:val="num" w:pos="360"/>
        </w:tabs>
        <w:ind w:left="36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60E93"/>
    <w:multiLevelType w:val="hybridMultilevel"/>
    <w:tmpl w:val="A064B5B2"/>
    <w:lvl w:ilvl="0" w:tplc="D39C989A">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07CE8"/>
    <w:multiLevelType w:val="hybridMultilevel"/>
    <w:tmpl w:val="60FCFC08"/>
    <w:lvl w:ilvl="0" w:tplc="C088A2C0">
      <w:start w:val="1"/>
      <w:numFmt w:val="bullet"/>
      <w:lvlText w:val=""/>
      <w:lvlJc w:val="left"/>
      <w:pPr>
        <w:tabs>
          <w:tab w:val="num" w:pos="340"/>
        </w:tabs>
        <w:ind w:left="340" w:hanging="340"/>
      </w:pPr>
      <w:rPr>
        <w:rFonts w:ascii="Wingdings" w:hAnsi="Wingdings" w:hint="default"/>
        <w:w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13BBE"/>
    <w:multiLevelType w:val="hybridMultilevel"/>
    <w:tmpl w:val="6EF07E9A"/>
    <w:lvl w:ilvl="0" w:tplc="61A46EC2">
      <w:numFmt w:val="bullet"/>
      <w:lvlText w:val="•"/>
      <w:lvlJc w:val="left"/>
      <w:pPr>
        <w:ind w:left="720" w:hanging="360"/>
      </w:pPr>
      <w:rPr>
        <w:rFonts w:ascii="Museo Sans 300" w:eastAsia="Calibri" w:hAnsi="Museo Sans 300"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310606"/>
    <w:multiLevelType w:val="hybridMultilevel"/>
    <w:tmpl w:val="46B28E90"/>
    <w:lvl w:ilvl="0" w:tplc="A70862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BA45C5"/>
    <w:multiLevelType w:val="hybridMultilevel"/>
    <w:tmpl w:val="72B0334E"/>
    <w:lvl w:ilvl="0" w:tplc="74B01B16">
      <w:numFmt w:val="bullet"/>
      <w:lvlText w:val="•"/>
      <w:lvlJc w:val="left"/>
      <w:pPr>
        <w:ind w:left="720" w:hanging="360"/>
      </w:pPr>
      <w:rPr>
        <w:rFonts w:ascii="Museo Sans 300" w:eastAsia="Calibri" w:hAnsi="Museo Sans 300"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11A6B"/>
    <w:multiLevelType w:val="hybridMultilevel"/>
    <w:tmpl w:val="6FEC5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4E94EE8"/>
    <w:multiLevelType w:val="multilevel"/>
    <w:tmpl w:val="CE7AB676"/>
    <w:styleLink w:val="ListStyle1"/>
    <w:lvl w:ilvl="0">
      <w:start w:val="1"/>
      <w:numFmt w:val="decimal"/>
      <w:pStyle w:val="Heading2"/>
      <w:lvlText w:val="%1."/>
      <w:lvlJc w:val="left"/>
      <w:pPr>
        <w:ind w:left="357" w:hanging="357"/>
      </w:pPr>
      <w:rPr>
        <w:rFonts w:hint="eastAsia"/>
      </w:rPr>
    </w:lvl>
    <w:lvl w:ilvl="1">
      <w:start w:val="1"/>
      <w:numFmt w:val="decimal"/>
      <w:pStyle w:val="NumberedParagraph"/>
      <w:lvlText w:val="%2."/>
      <w:lvlJc w:val="left"/>
      <w:pPr>
        <w:ind w:left="714" w:hanging="357"/>
      </w:pPr>
      <w:rPr>
        <w:rFonts w:hint="eastAsia"/>
      </w:rPr>
    </w:lvl>
    <w:lvl w:ilvl="2">
      <w:start w:val="1"/>
      <w:numFmt w:val="lowerRoman"/>
      <w:lvlText w:val="%3."/>
      <w:lvlJc w:val="right"/>
      <w:pPr>
        <w:ind w:left="1071" w:hanging="357"/>
      </w:pPr>
      <w:rPr>
        <w:rFonts w:hint="eastAsia"/>
      </w:rPr>
    </w:lvl>
    <w:lvl w:ilvl="3">
      <w:start w:val="1"/>
      <w:numFmt w:val="decimal"/>
      <w:lvlText w:val="%4."/>
      <w:lvlJc w:val="left"/>
      <w:pPr>
        <w:ind w:left="1428" w:hanging="357"/>
      </w:pPr>
      <w:rPr>
        <w:rFonts w:hint="eastAsia"/>
      </w:rPr>
    </w:lvl>
    <w:lvl w:ilvl="4">
      <w:start w:val="1"/>
      <w:numFmt w:val="lowerLetter"/>
      <w:lvlText w:val="%5."/>
      <w:lvlJc w:val="left"/>
      <w:pPr>
        <w:ind w:left="1785" w:hanging="357"/>
      </w:pPr>
      <w:rPr>
        <w:rFonts w:hint="eastAsia"/>
      </w:rPr>
    </w:lvl>
    <w:lvl w:ilvl="5">
      <w:start w:val="1"/>
      <w:numFmt w:val="lowerRoman"/>
      <w:lvlText w:val="%6."/>
      <w:lvlJc w:val="righ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right"/>
      <w:pPr>
        <w:ind w:left="3213" w:hanging="357"/>
      </w:pPr>
      <w:rPr>
        <w:rFonts w:hint="eastAsia"/>
      </w:rPr>
    </w:lvl>
  </w:abstractNum>
  <w:abstractNum w:abstractNumId="31" w15:restartNumberingAfterBreak="0">
    <w:nsid w:val="764C028B"/>
    <w:multiLevelType w:val="hybridMultilevel"/>
    <w:tmpl w:val="5702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45704E"/>
    <w:multiLevelType w:val="multilevel"/>
    <w:tmpl w:val="800E3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46335C"/>
    <w:multiLevelType w:val="hybridMultilevel"/>
    <w:tmpl w:val="043E1C02"/>
    <w:lvl w:ilvl="0" w:tplc="9ED4D070">
      <w:start w:val="1"/>
      <w:numFmt w:val="bullet"/>
      <w:lvlText w:val=""/>
      <w:lvlJc w:val="left"/>
      <w:pPr>
        <w:ind w:left="360" w:hanging="360"/>
      </w:pPr>
      <w:rPr>
        <w:rFonts w:ascii="Wingdings" w:hAnsi="Wingdings"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0666E0"/>
    <w:multiLevelType w:val="hybridMultilevel"/>
    <w:tmpl w:val="B5A4DDAC"/>
    <w:lvl w:ilvl="0" w:tplc="9ED4D070">
      <w:start w:val="1"/>
      <w:numFmt w:val="bullet"/>
      <w:lvlText w:val=""/>
      <w:lvlJc w:val="left"/>
      <w:pPr>
        <w:tabs>
          <w:tab w:val="num" w:pos="360"/>
        </w:tabs>
        <w:ind w:left="360" w:hanging="360"/>
      </w:pPr>
      <w:rPr>
        <w:rFonts w:ascii="Wingdings" w:hAnsi="Wingdings" w:hint="default"/>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761C8"/>
    <w:multiLevelType w:val="hybridMultilevel"/>
    <w:tmpl w:val="1FDED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1"/>
  </w:num>
  <w:num w:numId="3">
    <w:abstractNumId w:val="25"/>
  </w:num>
  <w:num w:numId="4">
    <w:abstractNumId w:val="3"/>
  </w:num>
  <w:num w:numId="5">
    <w:abstractNumId w:val="22"/>
  </w:num>
  <w:num w:numId="6">
    <w:abstractNumId w:val="17"/>
  </w:num>
  <w:num w:numId="7">
    <w:abstractNumId w:val="20"/>
  </w:num>
  <w:num w:numId="8">
    <w:abstractNumId w:val="16"/>
  </w:num>
  <w:num w:numId="9">
    <w:abstractNumId w:val="24"/>
  </w:num>
  <w:num w:numId="10">
    <w:abstractNumId w:val="15"/>
  </w:num>
  <w:num w:numId="11">
    <w:abstractNumId w:val="23"/>
  </w:num>
  <w:num w:numId="12">
    <w:abstractNumId w:val="6"/>
  </w:num>
  <w:num w:numId="13">
    <w:abstractNumId w:val="13"/>
  </w:num>
  <w:num w:numId="14">
    <w:abstractNumId w:val="33"/>
  </w:num>
  <w:num w:numId="15">
    <w:abstractNumId w:val="34"/>
  </w:num>
  <w:num w:numId="16">
    <w:abstractNumId w:val="9"/>
  </w:num>
  <w:num w:numId="17">
    <w:abstractNumId w:val="26"/>
  </w:num>
  <w:num w:numId="18">
    <w:abstractNumId w:val="31"/>
  </w:num>
  <w:num w:numId="19">
    <w:abstractNumId w:val="4"/>
  </w:num>
  <w:num w:numId="20">
    <w:abstractNumId w:val="11"/>
  </w:num>
  <w:num w:numId="21">
    <w:abstractNumId w:val="0"/>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32"/>
  </w:num>
  <w:num w:numId="27">
    <w:abstractNumId w:val="18"/>
  </w:num>
  <w:num w:numId="28">
    <w:abstractNumId w:val="5"/>
  </w:num>
  <w:num w:numId="29">
    <w:abstractNumId w:val="8"/>
  </w:num>
  <w:num w:numId="30">
    <w:abstractNumId w:val="14"/>
  </w:num>
  <w:num w:numId="31">
    <w:abstractNumId w:val="35"/>
  </w:num>
  <w:num w:numId="32">
    <w:abstractNumId w:val="29"/>
  </w:num>
  <w:num w:numId="33">
    <w:abstractNumId w:val="7"/>
  </w:num>
  <w:num w:numId="34">
    <w:abstractNumId w:val="10"/>
  </w:num>
  <w:num w:numId="35">
    <w:abstractNumId w:val="2"/>
  </w:num>
  <w:num w:numId="36">
    <w:abstractNumId w:val="1"/>
  </w:num>
  <w:num w:numId="37">
    <w:abstractNumId w:val="12"/>
  </w:num>
  <w:num w:numId="3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ED"/>
    <w:rsid w:val="000011F5"/>
    <w:rsid w:val="00004D56"/>
    <w:rsid w:val="000114A1"/>
    <w:rsid w:val="00017297"/>
    <w:rsid w:val="00026D76"/>
    <w:rsid w:val="000337F5"/>
    <w:rsid w:val="0003723A"/>
    <w:rsid w:val="00040101"/>
    <w:rsid w:val="00040FF9"/>
    <w:rsid w:val="00045D3E"/>
    <w:rsid w:val="00046370"/>
    <w:rsid w:val="00046753"/>
    <w:rsid w:val="00046ACC"/>
    <w:rsid w:val="000473B0"/>
    <w:rsid w:val="00054574"/>
    <w:rsid w:val="000650A3"/>
    <w:rsid w:val="000668C8"/>
    <w:rsid w:val="00070471"/>
    <w:rsid w:val="00075239"/>
    <w:rsid w:val="00076F0D"/>
    <w:rsid w:val="000812DE"/>
    <w:rsid w:val="00081B15"/>
    <w:rsid w:val="00083A5C"/>
    <w:rsid w:val="00085779"/>
    <w:rsid w:val="00087B2E"/>
    <w:rsid w:val="000928A8"/>
    <w:rsid w:val="000951FD"/>
    <w:rsid w:val="00096EF6"/>
    <w:rsid w:val="000A23C6"/>
    <w:rsid w:val="000A7D39"/>
    <w:rsid w:val="000B0E14"/>
    <w:rsid w:val="000B1DB2"/>
    <w:rsid w:val="000B5935"/>
    <w:rsid w:val="000C47A2"/>
    <w:rsid w:val="000C7183"/>
    <w:rsid w:val="000D119B"/>
    <w:rsid w:val="000D1A91"/>
    <w:rsid w:val="000D3B1B"/>
    <w:rsid w:val="000E0CD8"/>
    <w:rsid w:val="000E3A64"/>
    <w:rsid w:val="000E4885"/>
    <w:rsid w:val="000F0A8F"/>
    <w:rsid w:val="000F6CA0"/>
    <w:rsid w:val="00101026"/>
    <w:rsid w:val="001013BA"/>
    <w:rsid w:val="001027A1"/>
    <w:rsid w:val="0010474E"/>
    <w:rsid w:val="001047AB"/>
    <w:rsid w:val="0012149E"/>
    <w:rsid w:val="001226AE"/>
    <w:rsid w:val="00125B12"/>
    <w:rsid w:val="00131EEC"/>
    <w:rsid w:val="00142485"/>
    <w:rsid w:val="001438A7"/>
    <w:rsid w:val="00153FFA"/>
    <w:rsid w:val="00156CAA"/>
    <w:rsid w:val="00174830"/>
    <w:rsid w:val="00177F46"/>
    <w:rsid w:val="00180C8B"/>
    <w:rsid w:val="00181F93"/>
    <w:rsid w:val="00184C74"/>
    <w:rsid w:val="001936B1"/>
    <w:rsid w:val="00194867"/>
    <w:rsid w:val="00194B86"/>
    <w:rsid w:val="001A009E"/>
    <w:rsid w:val="001A2654"/>
    <w:rsid w:val="001A443E"/>
    <w:rsid w:val="001A58CF"/>
    <w:rsid w:val="001B226C"/>
    <w:rsid w:val="001B2378"/>
    <w:rsid w:val="001B73EA"/>
    <w:rsid w:val="001B75BE"/>
    <w:rsid w:val="001B7A45"/>
    <w:rsid w:val="001B7E95"/>
    <w:rsid w:val="001C248C"/>
    <w:rsid w:val="001C2B1F"/>
    <w:rsid w:val="001C5EAE"/>
    <w:rsid w:val="001C69E5"/>
    <w:rsid w:val="001D33E9"/>
    <w:rsid w:val="001D73E4"/>
    <w:rsid w:val="001E5431"/>
    <w:rsid w:val="00200620"/>
    <w:rsid w:val="00203341"/>
    <w:rsid w:val="00203AD5"/>
    <w:rsid w:val="00205D92"/>
    <w:rsid w:val="002229E8"/>
    <w:rsid w:val="00225E11"/>
    <w:rsid w:val="0022772F"/>
    <w:rsid w:val="00231930"/>
    <w:rsid w:val="00237697"/>
    <w:rsid w:val="00245E69"/>
    <w:rsid w:val="00245F09"/>
    <w:rsid w:val="00247C1E"/>
    <w:rsid w:val="0026102E"/>
    <w:rsid w:val="002649F0"/>
    <w:rsid w:val="0026543D"/>
    <w:rsid w:val="00270321"/>
    <w:rsid w:val="00271D2F"/>
    <w:rsid w:val="00280001"/>
    <w:rsid w:val="00286453"/>
    <w:rsid w:val="00291804"/>
    <w:rsid w:val="0029302A"/>
    <w:rsid w:val="0029460D"/>
    <w:rsid w:val="00295065"/>
    <w:rsid w:val="002965D8"/>
    <w:rsid w:val="002A3F33"/>
    <w:rsid w:val="002A5348"/>
    <w:rsid w:val="002B025B"/>
    <w:rsid w:val="002B0B50"/>
    <w:rsid w:val="002B6CE0"/>
    <w:rsid w:val="002C32D2"/>
    <w:rsid w:val="002C3E66"/>
    <w:rsid w:val="002D6825"/>
    <w:rsid w:val="002F1287"/>
    <w:rsid w:val="002F461C"/>
    <w:rsid w:val="002F730F"/>
    <w:rsid w:val="00300F72"/>
    <w:rsid w:val="00302F73"/>
    <w:rsid w:val="00303605"/>
    <w:rsid w:val="003060CB"/>
    <w:rsid w:val="00311C84"/>
    <w:rsid w:val="00316A04"/>
    <w:rsid w:val="00321943"/>
    <w:rsid w:val="00323657"/>
    <w:rsid w:val="0032788B"/>
    <w:rsid w:val="00332229"/>
    <w:rsid w:val="00333533"/>
    <w:rsid w:val="0033550D"/>
    <w:rsid w:val="0033655E"/>
    <w:rsid w:val="00341248"/>
    <w:rsid w:val="00342A82"/>
    <w:rsid w:val="00342C87"/>
    <w:rsid w:val="00345BF9"/>
    <w:rsid w:val="0035452C"/>
    <w:rsid w:val="00380148"/>
    <w:rsid w:val="00383D84"/>
    <w:rsid w:val="00392F43"/>
    <w:rsid w:val="0039311B"/>
    <w:rsid w:val="00394FC5"/>
    <w:rsid w:val="00396C39"/>
    <w:rsid w:val="003A09AF"/>
    <w:rsid w:val="003A69B3"/>
    <w:rsid w:val="003A6E99"/>
    <w:rsid w:val="003B5686"/>
    <w:rsid w:val="003C5C82"/>
    <w:rsid w:val="003C7FA4"/>
    <w:rsid w:val="003D5C02"/>
    <w:rsid w:val="003E6C87"/>
    <w:rsid w:val="003F2000"/>
    <w:rsid w:val="003F2201"/>
    <w:rsid w:val="003F2DE2"/>
    <w:rsid w:val="003F35FA"/>
    <w:rsid w:val="00410B5C"/>
    <w:rsid w:val="004129A0"/>
    <w:rsid w:val="004179BE"/>
    <w:rsid w:val="00420ABB"/>
    <w:rsid w:val="00420DFC"/>
    <w:rsid w:val="00426218"/>
    <w:rsid w:val="00426477"/>
    <w:rsid w:val="0042667B"/>
    <w:rsid w:val="004416FA"/>
    <w:rsid w:val="00444C1B"/>
    <w:rsid w:val="004502BE"/>
    <w:rsid w:val="00452F2A"/>
    <w:rsid w:val="00453730"/>
    <w:rsid w:val="00453D87"/>
    <w:rsid w:val="004731B3"/>
    <w:rsid w:val="00474782"/>
    <w:rsid w:val="004752F5"/>
    <w:rsid w:val="00476977"/>
    <w:rsid w:val="00480BD0"/>
    <w:rsid w:val="00491630"/>
    <w:rsid w:val="0049779B"/>
    <w:rsid w:val="004B200B"/>
    <w:rsid w:val="004C607B"/>
    <w:rsid w:val="004C76BD"/>
    <w:rsid w:val="004D0302"/>
    <w:rsid w:val="004D47CB"/>
    <w:rsid w:val="004D6F8A"/>
    <w:rsid w:val="004ECD38"/>
    <w:rsid w:val="004F2AC5"/>
    <w:rsid w:val="004F5F49"/>
    <w:rsid w:val="004F74A4"/>
    <w:rsid w:val="00501C54"/>
    <w:rsid w:val="005040F3"/>
    <w:rsid w:val="00505418"/>
    <w:rsid w:val="00520678"/>
    <w:rsid w:val="00520D33"/>
    <w:rsid w:val="0052616C"/>
    <w:rsid w:val="00527697"/>
    <w:rsid w:val="005310C7"/>
    <w:rsid w:val="00534846"/>
    <w:rsid w:val="00537829"/>
    <w:rsid w:val="00553F64"/>
    <w:rsid w:val="00555771"/>
    <w:rsid w:val="005571C5"/>
    <w:rsid w:val="00563EC0"/>
    <w:rsid w:val="005705D0"/>
    <w:rsid w:val="00573D98"/>
    <w:rsid w:val="00574317"/>
    <w:rsid w:val="00577922"/>
    <w:rsid w:val="00581EE9"/>
    <w:rsid w:val="00582E74"/>
    <w:rsid w:val="00584A90"/>
    <w:rsid w:val="00587CD0"/>
    <w:rsid w:val="005944BD"/>
    <w:rsid w:val="005A191C"/>
    <w:rsid w:val="005A4FA3"/>
    <w:rsid w:val="005A5E0B"/>
    <w:rsid w:val="005A7D09"/>
    <w:rsid w:val="005B7540"/>
    <w:rsid w:val="005B79A0"/>
    <w:rsid w:val="005C5D92"/>
    <w:rsid w:val="005D4E7E"/>
    <w:rsid w:val="005E2721"/>
    <w:rsid w:val="005E2E5B"/>
    <w:rsid w:val="005F30E8"/>
    <w:rsid w:val="005F32C8"/>
    <w:rsid w:val="005F6844"/>
    <w:rsid w:val="00605C2F"/>
    <w:rsid w:val="00605EE7"/>
    <w:rsid w:val="00610D4B"/>
    <w:rsid w:val="00614F5E"/>
    <w:rsid w:val="006561CA"/>
    <w:rsid w:val="00660B66"/>
    <w:rsid w:val="00663A22"/>
    <w:rsid w:val="00664C01"/>
    <w:rsid w:val="00664DA4"/>
    <w:rsid w:val="00666552"/>
    <w:rsid w:val="0067006E"/>
    <w:rsid w:val="006912F3"/>
    <w:rsid w:val="00692957"/>
    <w:rsid w:val="00694086"/>
    <w:rsid w:val="00694DC6"/>
    <w:rsid w:val="006B2664"/>
    <w:rsid w:val="006C1139"/>
    <w:rsid w:val="006C4990"/>
    <w:rsid w:val="006C62AC"/>
    <w:rsid w:val="006C6E82"/>
    <w:rsid w:val="006E0945"/>
    <w:rsid w:val="006E6358"/>
    <w:rsid w:val="006F0348"/>
    <w:rsid w:val="006F2099"/>
    <w:rsid w:val="006F22A6"/>
    <w:rsid w:val="006F44DC"/>
    <w:rsid w:val="006F66EC"/>
    <w:rsid w:val="007008FB"/>
    <w:rsid w:val="007205D1"/>
    <w:rsid w:val="0072281C"/>
    <w:rsid w:val="0072592C"/>
    <w:rsid w:val="007354A6"/>
    <w:rsid w:val="00741C81"/>
    <w:rsid w:val="00755F7E"/>
    <w:rsid w:val="007611BA"/>
    <w:rsid w:val="00766405"/>
    <w:rsid w:val="0077454D"/>
    <w:rsid w:val="00777C02"/>
    <w:rsid w:val="00787E33"/>
    <w:rsid w:val="007905CC"/>
    <w:rsid w:val="007968B3"/>
    <w:rsid w:val="007A1CEB"/>
    <w:rsid w:val="007A5423"/>
    <w:rsid w:val="007B23EC"/>
    <w:rsid w:val="007C0DD7"/>
    <w:rsid w:val="007C16B6"/>
    <w:rsid w:val="007C18D9"/>
    <w:rsid w:val="007C3EA7"/>
    <w:rsid w:val="007C4666"/>
    <w:rsid w:val="007C513C"/>
    <w:rsid w:val="007D44D1"/>
    <w:rsid w:val="007E0B8B"/>
    <w:rsid w:val="007F150C"/>
    <w:rsid w:val="007F2442"/>
    <w:rsid w:val="007F34B3"/>
    <w:rsid w:val="00801042"/>
    <w:rsid w:val="00815C4D"/>
    <w:rsid w:val="00831F48"/>
    <w:rsid w:val="008403DB"/>
    <w:rsid w:val="008423FA"/>
    <w:rsid w:val="00851B04"/>
    <w:rsid w:val="008657A8"/>
    <w:rsid w:val="00865DE5"/>
    <w:rsid w:val="008708E4"/>
    <w:rsid w:val="00870FA3"/>
    <w:rsid w:val="00875357"/>
    <w:rsid w:val="00893365"/>
    <w:rsid w:val="008A6643"/>
    <w:rsid w:val="008B3AD8"/>
    <w:rsid w:val="008B6874"/>
    <w:rsid w:val="008C1AB2"/>
    <w:rsid w:val="008C49E8"/>
    <w:rsid w:val="008D3F2F"/>
    <w:rsid w:val="008D5199"/>
    <w:rsid w:val="008E192C"/>
    <w:rsid w:val="008E1D7F"/>
    <w:rsid w:val="008E269F"/>
    <w:rsid w:val="008E5C1F"/>
    <w:rsid w:val="008E65F0"/>
    <w:rsid w:val="008F04D8"/>
    <w:rsid w:val="008F0D5C"/>
    <w:rsid w:val="008F6AED"/>
    <w:rsid w:val="00903704"/>
    <w:rsid w:val="00903BDA"/>
    <w:rsid w:val="009108DC"/>
    <w:rsid w:val="0091154A"/>
    <w:rsid w:val="00913063"/>
    <w:rsid w:val="009321FA"/>
    <w:rsid w:val="00935B35"/>
    <w:rsid w:val="00936589"/>
    <w:rsid w:val="0093709E"/>
    <w:rsid w:val="00937571"/>
    <w:rsid w:val="009418F7"/>
    <w:rsid w:val="00954708"/>
    <w:rsid w:val="009576B9"/>
    <w:rsid w:val="00967E62"/>
    <w:rsid w:val="00972787"/>
    <w:rsid w:val="00972D44"/>
    <w:rsid w:val="009916FF"/>
    <w:rsid w:val="00992E34"/>
    <w:rsid w:val="00994771"/>
    <w:rsid w:val="00997BBE"/>
    <w:rsid w:val="009A00DE"/>
    <w:rsid w:val="009A05D2"/>
    <w:rsid w:val="009A5BC4"/>
    <w:rsid w:val="009A682B"/>
    <w:rsid w:val="009A7E83"/>
    <w:rsid w:val="009B37FD"/>
    <w:rsid w:val="009C3EBB"/>
    <w:rsid w:val="009C4EB6"/>
    <w:rsid w:val="009D25CF"/>
    <w:rsid w:val="009D3CDB"/>
    <w:rsid w:val="009E0955"/>
    <w:rsid w:val="009E445D"/>
    <w:rsid w:val="009F1736"/>
    <w:rsid w:val="009F2385"/>
    <w:rsid w:val="00A02454"/>
    <w:rsid w:val="00A0303A"/>
    <w:rsid w:val="00A067D8"/>
    <w:rsid w:val="00A07CF0"/>
    <w:rsid w:val="00A1031F"/>
    <w:rsid w:val="00A21592"/>
    <w:rsid w:val="00A24359"/>
    <w:rsid w:val="00A25E20"/>
    <w:rsid w:val="00A30B7F"/>
    <w:rsid w:val="00A31BB0"/>
    <w:rsid w:val="00A327D2"/>
    <w:rsid w:val="00A337C2"/>
    <w:rsid w:val="00A36281"/>
    <w:rsid w:val="00A400E6"/>
    <w:rsid w:val="00A405D0"/>
    <w:rsid w:val="00A4209E"/>
    <w:rsid w:val="00A43A17"/>
    <w:rsid w:val="00A457A2"/>
    <w:rsid w:val="00A57445"/>
    <w:rsid w:val="00A60985"/>
    <w:rsid w:val="00A71DD3"/>
    <w:rsid w:val="00A72D68"/>
    <w:rsid w:val="00A7312D"/>
    <w:rsid w:val="00A763FB"/>
    <w:rsid w:val="00A81BE5"/>
    <w:rsid w:val="00A82B9C"/>
    <w:rsid w:val="00A861A6"/>
    <w:rsid w:val="00A946FA"/>
    <w:rsid w:val="00A963BC"/>
    <w:rsid w:val="00AA1C3A"/>
    <w:rsid w:val="00AA230F"/>
    <w:rsid w:val="00AA574D"/>
    <w:rsid w:val="00AB199D"/>
    <w:rsid w:val="00AB565E"/>
    <w:rsid w:val="00AC3715"/>
    <w:rsid w:val="00AC73A4"/>
    <w:rsid w:val="00AF4F84"/>
    <w:rsid w:val="00AF5917"/>
    <w:rsid w:val="00AF5E6B"/>
    <w:rsid w:val="00B01447"/>
    <w:rsid w:val="00B04955"/>
    <w:rsid w:val="00B14EF0"/>
    <w:rsid w:val="00B200B2"/>
    <w:rsid w:val="00B226BE"/>
    <w:rsid w:val="00B26043"/>
    <w:rsid w:val="00B36263"/>
    <w:rsid w:val="00B4149B"/>
    <w:rsid w:val="00B420F0"/>
    <w:rsid w:val="00B4638E"/>
    <w:rsid w:val="00B51523"/>
    <w:rsid w:val="00B53946"/>
    <w:rsid w:val="00B55493"/>
    <w:rsid w:val="00B55528"/>
    <w:rsid w:val="00B56D57"/>
    <w:rsid w:val="00B57364"/>
    <w:rsid w:val="00B57EAF"/>
    <w:rsid w:val="00B66889"/>
    <w:rsid w:val="00B713C6"/>
    <w:rsid w:val="00B746E2"/>
    <w:rsid w:val="00B81DCC"/>
    <w:rsid w:val="00B9132E"/>
    <w:rsid w:val="00B9657A"/>
    <w:rsid w:val="00B96D29"/>
    <w:rsid w:val="00B97B02"/>
    <w:rsid w:val="00BA1C58"/>
    <w:rsid w:val="00BB74D0"/>
    <w:rsid w:val="00BC39F0"/>
    <w:rsid w:val="00BC6D41"/>
    <w:rsid w:val="00BD15AD"/>
    <w:rsid w:val="00BD3351"/>
    <w:rsid w:val="00BD7F31"/>
    <w:rsid w:val="00BE16C9"/>
    <w:rsid w:val="00BF5AC3"/>
    <w:rsid w:val="00C03550"/>
    <w:rsid w:val="00C03AF2"/>
    <w:rsid w:val="00C0519A"/>
    <w:rsid w:val="00C05F57"/>
    <w:rsid w:val="00C06872"/>
    <w:rsid w:val="00C06CC0"/>
    <w:rsid w:val="00C172FA"/>
    <w:rsid w:val="00C21140"/>
    <w:rsid w:val="00C24350"/>
    <w:rsid w:val="00C344FD"/>
    <w:rsid w:val="00C36563"/>
    <w:rsid w:val="00C3673A"/>
    <w:rsid w:val="00C421C1"/>
    <w:rsid w:val="00C42414"/>
    <w:rsid w:val="00C45217"/>
    <w:rsid w:val="00C45C13"/>
    <w:rsid w:val="00C46228"/>
    <w:rsid w:val="00C50433"/>
    <w:rsid w:val="00C50B8E"/>
    <w:rsid w:val="00C51305"/>
    <w:rsid w:val="00C5761A"/>
    <w:rsid w:val="00C74B07"/>
    <w:rsid w:val="00C82CE1"/>
    <w:rsid w:val="00C902BC"/>
    <w:rsid w:val="00C9267B"/>
    <w:rsid w:val="00C931F0"/>
    <w:rsid w:val="00CA5D85"/>
    <w:rsid w:val="00CB1154"/>
    <w:rsid w:val="00CC2332"/>
    <w:rsid w:val="00CC58BA"/>
    <w:rsid w:val="00CC657F"/>
    <w:rsid w:val="00CC6A1D"/>
    <w:rsid w:val="00CD30AF"/>
    <w:rsid w:val="00CF3116"/>
    <w:rsid w:val="00CF49F0"/>
    <w:rsid w:val="00CF7BBC"/>
    <w:rsid w:val="00D02D2A"/>
    <w:rsid w:val="00D02EF8"/>
    <w:rsid w:val="00D0572B"/>
    <w:rsid w:val="00D05AD5"/>
    <w:rsid w:val="00D13D68"/>
    <w:rsid w:val="00D170CD"/>
    <w:rsid w:val="00D23102"/>
    <w:rsid w:val="00D33EBC"/>
    <w:rsid w:val="00D45BED"/>
    <w:rsid w:val="00D4653D"/>
    <w:rsid w:val="00D6141D"/>
    <w:rsid w:val="00D672A4"/>
    <w:rsid w:val="00D70A26"/>
    <w:rsid w:val="00D72A59"/>
    <w:rsid w:val="00D76FE4"/>
    <w:rsid w:val="00D77208"/>
    <w:rsid w:val="00D812E2"/>
    <w:rsid w:val="00D85CFB"/>
    <w:rsid w:val="00DA0753"/>
    <w:rsid w:val="00DB0E68"/>
    <w:rsid w:val="00DB1631"/>
    <w:rsid w:val="00DB1F5D"/>
    <w:rsid w:val="00DB2AE3"/>
    <w:rsid w:val="00DB75F7"/>
    <w:rsid w:val="00DE3CC4"/>
    <w:rsid w:val="00DF3E5B"/>
    <w:rsid w:val="00DF68E2"/>
    <w:rsid w:val="00E04CDA"/>
    <w:rsid w:val="00E3142A"/>
    <w:rsid w:val="00E31759"/>
    <w:rsid w:val="00E3307F"/>
    <w:rsid w:val="00E33C13"/>
    <w:rsid w:val="00E45792"/>
    <w:rsid w:val="00E47BE7"/>
    <w:rsid w:val="00E5242F"/>
    <w:rsid w:val="00E534EF"/>
    <w:rsid w:val="00E6323E"/>
    <w:rsid w:val="00E64199"/>
    <w:rsid w:val="00E65F27"/>
    <w:rsid w:val="00E70113"/>
    <w:rsid w:val="00E71AE1"/>
    <w:rsid w:val="00E730D7"/>
    <w:rsid w:val="00E80147"/>
    <w:rsid w:val="00E838C0"/>
    <w:rsid w:val="00E93426"/>
    <w:rsid w:val="00EA2D1E"/>
    <w:rsid w:val="00EA3643"/>
    <w:rsid w:val="00EA7A72"/>
    <w:rsid w:val="00EB1930"/>
    <w:rsid w:val="00EC293F"/>
    <w:rsid w:val="00EC4E31"/>
    <w:rsid w:val="00EE3B0F"/>
    <w:rsid w:val="00EE6834"/>
    <w:rsid w:val="00EF1ADF"/>
    <w:rsid w:val="00F023F8"/>
    <w:rsid w:val="00F03FC9"/>
    <w:rsid w:val="00F058C2"/>
    <w:rsid w:val="00F06589"/>
    <w:rsid w:val="00F10061"/>
    <w:rsid w:val="00F243C6"/>
    <w:rsid w:val="00F26F34"/>
    <w:rsid w:val="00F30569"/>
    <w:rsid w:val="00F35F6A"/>
    <w:rsid w:val="00F40F79"/>
    <w:rsid w:val="00F4193C"/>
    <w:rsid w:val="00F4625F"/>
    <w:rsid w:val="00F532E2"/>
    <w:rsid w:val="00F546C6"/>
    <w:rsid w:val="00F565EA"/>
    <w:rsid w:val="00F57E7F"/>
    <w:rsid w:val="00F61157"/>
    <w:rsid w:val="00F62204"/>
    <w:rsid w:val="00F7369F"/>
    <w:rsid w:val="00F73AB5"/>
    <w:rsid w:val="00F74C79"/>
    <w:rsid w:val="00F76D57"/>
    <w:rsid w:val="00F92A5C"/>
    <w:rsid w:val="00F93A70"/>
    <w:rsid w:val="00FB1943"/>
    <w:rsid w:val="00FB2F92"/>
    <w:rsid w:val="00FC169D"/>
    <w:rsid w:val="00FE0865"/>
    <w:rsid w:val="00FE6D3C"/>
    <w:rsid w:val="00FF0B52"/>
    <w:rsid w:val="00FF1474"/>
    <w:rsid w:val="00FF62F4"/>
    <w:rsid w:val="06CEB12C"/>
    <w:rsid w:val="0B48791D"/>
    <w:rsid w:val="1DE2D316"/>
    <w:rsid w:val="20927B9A"/>
    <w:rsid w:val="23CB3512"/>
    <w:rsid w:val="29CAB300"/>
    <w:rsid w:val="4DF382AA"/>
    <w:rsid w:val="5ED48604"/>
    <w:rsid w:val="620E0A60"/>
    <w:rsid w:val="65498CB0"/>
    <w:rsid w:val="6BA4A7D7"/>
    <w:rsid w:val="7B6AF747"/>
    <w:rsid w:val="7D27D5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AD53E"/>
  <w15:docId w15:val="{93995258-A242-4888-8AF9-995085CB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F46"/>
    <w:rPr>
      <w:rFonts w:ascii="Museo Sans 300" w:hAnsi="Museo Sans 300" w:cs="Avenir-Book"/>
      <w:sz w:val="22"/>
      <w:szCs w:val="22"/>
      <w:lang w:val="en-GB"/>
    </w:rPr>
  </w:style>
  <w:style w:type="paragraph" w:styleId="Heading1">
    <w:name w:val="heading 1"/>
    <w:basedOn w:val="BNGNormal"/>
    <w:next w:val="Normal"/>
    <w:link w:val="Heading1Char"/>
    <w:uiPriority w:val="9"/>
    <w:qFormat/>
    <w:rsid w:val="00B57EAF"/>
    <w:pPr>
      <w:tabs>
        <w:tab w:val="left" w:pos="0"/>
      </w:tabs>
      <w:spacing w:before="240"/>
      <w:outlineLvl w:val="0"/>
    </w:pPr>
    <w:rPr>
      <w:rFonts w:ascii="Museo Sans 300" w:hAnsi="Museo Sans 300"/>
      <w:b/>
      <w:color w:val="auto"/>
      <w:sz w:val="22"/>
    </w:rPr>
  </w:style>
  <w:style w:type="paragraph" w:styleId="Heading2">
    <w:name w:val="heading 2"/>
    <w:basedOn w:val="SubHeading"/>
    <w:next w:val="Normal"/>
    <w:link w:val="Heading2Char"/>
    <w:uiPriority w:val="9"/>
    <w:qFormat/>
    <w:rsid w:val="00BD7F31"/>
    <w:pPr>
      <w:numPr>
        <w:numId w:val="22"/>
      </w:num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0572B"/>
    <w:rPr>
      <w:rFonts w:ascii="Courier New" w:hAnsi="Courier New" w:cs="Courier New"/>
      <w:sz w:val="20"/>
      <w:szCs w:val="20"/>
    </w:rPr>
  </w:style>
  <w:style w:type="paragraph" w:styleId="Header">
    <w:name w:val="header"/>
    <w:basedOn w:val="Normal"/>
    <w:rsid w:val="009108DC"/>
    <w:pPr>
      <w:tabs>
        <w:tab w:val="center" w:pos="4153"/>
        <w:tab w:val="right" w:pos="8306"/>
      </w:tabs>
    </w:pPr>
  </w:style>
  <w:style w:type="paragraph" w:styleId="Footer">
    <w:name w:val="footer"/>
    <w:basedOn w:val="Normal"/>
    <w:link w:val="FooterChar"/>
    <w:uiPriority w:val="99"/>
    <w:rsid w:val="009108DC"/>
    <w:pPr>
      <w:tabs>
        <w:tab w:val="center" w:pos="4153"/>
        <w:tab w:val="right" w:pos="8306"/>
      </w:tabs>
    </w:pPr>
  </w:style>
  <w:style w:type="paragraph" w:styleId="BalloonText">
    <w:name w:val="Balloon Text"/>
    <w:basedOn w:val="Normal"/>
    <w:semiHidden/>
    <w:rsid w:val="00174830"/>
    <w:rPr>
      <w:rFonts w:ascii="Tahoma" w:hAnsi="Tahoma" w:cs="Tahoma"/>
      <w:sz w:val="16"/>
      <w:szCs w:val="16"/>
    </w:rPr>
  </w:style>
  <w:style w:type="character" w:customStyle="1" w:styleId="FooterChar">
    <w:name w:val="Footer Char"/>
    <w:link w:val="Footer"/>
    <w:uiPriority w:val="99"/>
    <w:rsid w:val="00F10061"/>
    <w:rPr>
      <w:sz w:val="24"/>
      <w:szCs w:val="24"/>
      <w:lang w:val="en-US" w:eastAsia="en-US"/>
    </w:rPr>
  </w:style>
  <w:style w:type="character" w:styleId="Hyperlink">
    <w:name w:val="Hyperlink"/>
    <w:rsid w:val="00F10061"/>
    <w:rPr>
      <w:color w:val="0000FF"/>
      <w:u w:val="single"/>
    </w:rPr>
  </w:style>
  <w:style w:type="paragraph" w:styleId="Subtitle">
    <w:name w:val="Subtitle"/>
    <w:basedOn w:val="Normal"/>
    <w:link w:val="SubtitleChar"/>
    <w:uiPriority w:val="11"/>
    <w:rsid w:val="00D672A4"/>
    <w:pPr>
      <w:numPr>
        <w:ilvl w:val="1"/>
      </w:numPr>
    </w:pPr>
    <w:rPr>
      <w:rFonts w:ascii="Cambria" w:eastAsia="Times New Roman" w:hAnsi="Cambria"/>
      <w:i/>
      <w:iCs/>
      <w:color w:val="4F81BD"/>
      <w:spacing w:val="15"/>
    </w:rPr>
  </w:style>
  <w:style w:type="character" w:customStyle="1" w:styleId="SubtitleChar">
    <w:name w:val="Subtitle Char"/>
    <w:link w:val="Subtitle"/>
    <w:uiPriority w:val="11"/>
    <w:rsid w:val="00D672A4"/>
    <w:rPr>
      <w:rFonts w:ascii="Cambria" w:eastAsia="Times New Roman" w:hAnsi="Cambria" w:cs="Times New Roman"/>
      <w:i/>
      <w:iCs/>
      <w:color w:val="4F81BD"/>
      <w:spacing w:val="15"/>
      <w:sz w:val="24"/>
      <w:szCs w:val="24"/>
    </w:rPr>
  </w:style>
  <w:style w:type="paragraph" w:customStyle="1" w:styleId="BNGHeading1">
    <w:name w:val="BNG Heading 1"/>
    <w:basedOn w:val="Normal"/>
    <w:rsid w:val="00C06872"/>
    <w:pPr>
      <w:widowControl w:val="0"/>
      <w:pBdr>
        <w:bottom w:val="single" w:sz="4" w:space="1" w:color="E36C0A"/>
      </w:pBdr>
      <w:suppressAutoHyphens/>
      <w:autoSpaceDE w:val="0"/>
      <w:autoSpaceDN w:val="0"/>
      <w:adjustRightInd w:val="0"/>
      <w:spacing w:after="113" w:line="288" w:lineRule="auto"/>
      <w:textAlignment w:val="center"/>
      <w:outlineLvl w:val="0"/>
    </w:pPr>
    <w:rPr>
      <w:rFonts w:ascii="Arial" w:hAnsi="Arial"/>
      <w:b/>
      <w:color w:val="D33211"/>
      <w:sz w:val="32"/>
      <w:szCs w:val="20"/>
    </w:rPr>
  </w:style>
  <w:style w:type="paragraph" w:customStyle="1" w:styleId="BNGHeading2">
    <w:name w:val="BNG Heading 2"/>
    <w:basedOn w:val="BNGHeading1"/>
    <w:rsid w:val="00C06872"/>
    <w:pPr>
      <w:pBdr>
        <w:bottom w:val="none" w:sz="0" w:space="0" w:color="auto"/>
      </w:pBdr>
    </w:pPr>
    <w:rPr>
      <w:color w:val="002060"/>
      <w:sz w:val="28"/>
    </w:rPr>
  </w:style>
  <w:style w:type="paragraph" w:customStyle="1" w:styleId="BNGHeading3">
    <w:name w:val="BNG Heading 3"/>
    <w:basedOn w:val="BNGHeading2"/>
    <w:rsid w:val="00C06872"/>
    <w:rPr>
      <w:b w:val="0"/>
      <w:sz w:val="24"/>
    </w:rPr>
  </w:style>
  <w:style w:type="paragraph" w:customStyle="1" w:styleId="BNGNormal">
    <w:name w:val="BNG Normal"/>
    <w:basedOn w:val="Normal"/>
    <w:link w:val="BNGNormalChar"/>
    <w:rsid w:val="00C06872"/>
    <w:pPr>
      <w:widowControl w:val="0"/>
      <w:suppressAutoHyphens/>
      <w:autoSpaceDE w:val="0"/>
      <w:autoSpaceDN w:val="0"/>
      <w:adjustRightInd w:val="0"/>
      <w:spacing w:after="120"/>
      <w:textAlignment w:val="center"/>
    </w:pPr>
    <w:rPr>
      <w:rFonts w:ascii="Arial" w:hAnsi="Arial"/>
      <w:color w:val="404040"/>
      <w:sz w:val="20"/>
      <w:szCs w:val="20"/>
    </w:rPr>
  </w:style>
  <w:style w:type="character" w:customStyle="1" w:styleId="Heading1Char">
    <w:name w:val="Heading 1 Char"/>
    <w:basedOn w:val="DefaultParagraphFont"/>
    <w:link w:val="Heading1"/>
    <w:uiPriority w:val="9"/>
    <w:rsid w:val="00B57EAF"/>
    <w:rPr>
      <w:rFonts w:ascii="Museo Sans 300" w:hAnsi="Museo Sans 300" w:cs="Avenir-Book"/>
      <w:b/>
      <w:sz w:val="22"/>
      <w:lang w:val="en-GB"/>
    </w:rPr>
  </w:style>
  <w:style w:type="paragraph" w:customStyle="1" w:styleId="SubHeading">
    <w:name w:val="SubHeading"/>
    <w:basedOn w:val="BNGNormal"/>
    <w:link w:val="SubHeadingChar"/>
    <w:qFormat/>
    <w:rsid w:val="00B55493"/>
    <w:rPr>
      <w:rFonts w:ascii="Museo Sans 300" w:hAnsi="Museo Sans 300"/>
      <w:b/>
      <w:color w:val="auto"/>
      <w:sz w:val="22"/>
      <w:szCs w:val="22"/>
      <w:u w:val="single"/>
    </w:rPr>
  </w:style>
  <w:style w:type="paragraph" w:styleId="ListParagraph">
    <w:name w:val="List Paragraph"/>
    <w:basedOn w:val="Normal"/>
    <w:uiPriority w:val="34"/>
    <w:qFormat/>
    <w:rsid w:val="00893365"/>
    <w:pPr>
      <w:numPr>
        <w:numId w:val="16"/>
      </w:numPr>
      <w:ind w:left="720"/>
      <w:contextualSpacing/>
    </w:pPr>
  </w:style>
  <w:style w:type="character" w:customStyle="1" w:styleId="BNGNormalChar">
    <w:name w:val="BNG Normal Char"/>
    <w:basedOn w:val="DefaultParagraphFont"/>
    <w:link w:val="BNGNormal"/>
    <w:rsid w:val="00B55493"/>
    <w:rPr>
      <w:rFonts w:ascii="Arial" w:hAnsi="Arial" w:cs="Avenir-Book"/>
      <w:color w:val="404040"/>
      <w:lang w:val="en-GB"/>
    </w:rPr>
  </w:style>
  <w:style w:type="character" w:customStyle="1" w:styleId="SubHeadingChar">
    <w:name w:val="SubHeading Char"/>
    <w:basedOn w:val="BNGNormalChar"/>
    <w:link w:val="SubHeading"/>
    <w:rsid w:val="00B55493"/>
    <w:rPr>
      <w:rFonts w:ascii="Museo Sans 300" w:hAnsi="Museo Sans 300" w:cs="Avenir-Book"/>
      <w:b/>
      <w:color w:val="404040"/>
      <w:sz w:val="22"/>
      <w:szCs w:val="22"/>
      <w:u w:val="single"/>
      <w:lang w:val="en-GB"/>
    </w:rPr>
  </w:style>
  <w:style w:type="character" w:customStyle="1" w:styleId="Heading2Char">
    <w:name w:val="Heading 2 Char"/>
    <w:basedOn w:val="DefaultParagraphFont"/>
    <w:link w:val="Heading2"/>
    <w:uiPriority w:val="9"/>
    <w:rsid w:val="00BD7F31"/>
    <w:rPr>
      <w:rFonts w:ascii="Museo Sans 300" w:hAnsi="Museo Sans 300" w:cs="Avenir-Book"/>
      <w:b/>
      <w:sz w:val="22"/>
      <w:szCs w:val="22"/>
      <w:u w:val="single"/>
      <w:lang w:val="en-GB"/>
    </w:rPr>
  </w:style>
  <w:style w:type="paragraph" w:styleId="BodyText">
    <w:name w:val="Body Text"/>
    <w:basedOn w:val="Normal"/>
    <w:link w:val="BodyTextChar"/>
    <w:qFormat/>
    <w:rsid w:val="00BD7F31"/>
    <w:pPr>
      <w:spacing w:after="120"/>
    </w:pPr>
  </w:style>
  <w:style w:type="character" w:customStyle="1" w:styleId="BodyTextChar">
    <w:name w:val="Body Text Char"/>
    <w:basedOn w:val="DefaultParagraphFont"/>
    <w:link w:val="BodyText"/>
    <w:rsid w:val="00BD7F31"/>
    <w:rPr>
      <w:rFonts w:ascii="Museo Sans 300" w:hAnsi="Museo Sans 300" w:cs="Avenir-Book"/>
      <w:sz w:val="22"/>
      <w:szCs w:val="22"/>
      <w:lang w:val="en-GB"/>
    </w:rPr>
  </w:style>
  <w:style w:type="paragraph" w:customStyle="1" w:styleId="NumberedParagraph">
    <w:name w:val="Numbered Paragraph"/>
    <w:basedOn w:val="BodyText"/>
    <w:link w:val="NumberedParagraphChar"/>
    <w:qFormat/>
    <w:rsid w:val="00936589"/>
    <w:pPr>
      <w:widowControl w:val="0"/>
      <w:numPr>
        <w:ilvl w:val="1"/>
        <w:numId w:val="22"/>
      </w:numPr>
      <w:tabs>
        <w:tab w:val="left" w:pos="1109"/>
      </w:tabs>
      <w:spacing w:before="29" w:after="0"/>
    </w:pPr>
    <w:rPr>
      <w:spacing w:val="-1"/>
    </w:rPr>
  </w:style>
  <w:style w:type="character" w:customStyle="1" w:styleId="NumberedParagraphChar">
    <w:name w:val="Numbered Paragraph Char"/>
    <w:basedOn w:val="BodyTextChar"/>
    <w:link w:val="NumberedParagraph"/>
    <w:rsid w:val="00936589"/>
    <w:rPr>
      <w:rFonts w:ascii="Museo Sans 300" w:hAnsi="Museo Sans 300" w:cs="Avenir-Book"/>
      <w:spacing w:val="-1"/>
      <w:sz w:val="22"/>
      <w:szCs w:val="22"/>
      <w:lang w:val="en-GB"/>
    </w:rPr>
  </w:style>
  <w:style w:type="paragraph" w:styleId="ListNumber">
    <w:name w:val="List Number"/>
    <w:basedOn w:val="Normal"/>
    <w:rsid w:val="00D33EBC"/>
    <w:pPr>
      <w:numPr>
        <w:numId w:val="21"/>
      </w:numPr>
      <w:ind w:left="850" w:hanging="425"/>
      <w:contextualSpacing/>
    </w:pPr>
  </w:style>
  <w:style w:type="numbering" w:customStyle="1" w:styleId="ListStyle1">
    <w:name w:val="ListStyle1"/>
    <w:uiPriority w:val="99"/>
    <w:rsid w:val="001B73EA"/>
    <w:pPr>
      <w:numPr>
        <w:numId w:val="22"/>
      </w:numPr>
    </w:pPr>
  </w:style>
  <w:style w:type="paragraph" w:styleId="Title">
    <w:name w:val="Title"/>
    <w:basedOn w:val="Normal"/>
    <w:next w:val="Normal"/>
    <w:link w:val="TitleChar"/>
    <w:uiPriority w:val="10"/>
    <w:qFormat/>
    <w:rsid w:val="0012149E"/>
    <w:pPr>
      <w:framePr w:hSpace="180" w:wrap="around" w:vAnchor="text" w:hAnchor="margin" w:x="108" w:y="86"/>
      <w:jc w:val="center"/>
    </w:pPr>
    <w:rPr>
      <w:rFonts w:ascii="Museo 500" w:hAnsi="Museo 500"/>
      <w:sz w:val="28"/>
      <w:szCs w:val="28"/>
    </w:rPr>
  </w:style>
  <w:style w:type="character" w:customStyle="1" w:styleId="TitleChar">
    <w:name w:val="Title Char"/>
    <w:basedOn w:val="DefaultParagraphFont"/>
    <w:link w:val="Title"/>
    <w:uiPriority w:val="10"/>
    <w:rsid w:val="0012149E"/>
    <w:rPr>
      <w:rFonts w:ascii="Museo 500" w:hAnsi="Museo 500" w:cs="Avenir-Book"/>
      <w:sz w:val="28"/>
      <w:szCs w:val="28"/>
      <w:lang w:val="en-GB"/>
    </w:rPr>
  </w:style>
  <w:style w:type="character" w:styleId="Strong">
    <w:name w:val="Strong"/>
    <w:basedOn w:val="DefaultParagraphFont"/>
    <w:uiPriority w:val="22"/>
    <w:qFormat/>
    <w:rsid w:val="00534846"/>
    <w:rPr>
      <w:b/>
      <w:bCs/>
    </w:rPr>
  </w:style>
  <w:style w:type="character" w:customStyle="1" w:styleId="apple-converted-space">
    <w:name w:val="apple-converted-space"/>
    <w:basedOn w:val="DefaultParagraphFont"/>
    <w:rsid w:val="00534846"/>
  </w:style>
  <w:style w:type="paragraph" w:styleId="NoSpacing">
    <w:name w:val="No Spacing"/>
    <w:uiPriority w:val="1"/>
    <w:qFormat/>
    <w:rsid w:val="00311C84"/>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963BC"/>
    <w:pPr>
      <w:spacing w:before="100" w:beforeAutospacing="1" w:after="100" w:afterAutospacing="1"/>
    </w:pPr>
    <w:rPr>
      <w:rFonts w:ascii="Times New Roman" w:eastAsia="Times New Roman" w:hAnsi="Times New Roman" w:cs="Times New Roman"/>
      <w:sz w:val="24"/>
      <w:szCs w:val="24"/>
      <w:lang w:val="en-AU"/>
    </w:rPr>
  </w:style>
  <w:style w:type="paragraph" w:styleId="Revision">
    <w:name w:val="Revision"/>
    <w:hidden/>
    <w:uiPriority w:val="99"/>
    <w:semiHidden/>
    <w:rsid w:val="00573D98"/>
    <w:rPr>
      <w:rFonts w:ascii="Museo Sans 300" w:hAnsi="Museo Sans 300" w:cs="Avenir-Book"/>
      <w:sz w:val="22"/>
      <w:szCs w:val="22"/>
      <w:lang w:val="en-GB"/>
    </w:rPr>
  </w:style>
  <w:style w:type="character" w:styleId="CommentReference">
    <w:name w:val="annotation reference"/>
    <w:basedOn w:val="DefaultParagraphFont"/>
    <w:semiHidden/>
    <w:unhideWhenUsed/>
    <w:rsid w:val="00573D98"/>
    <w:rPr>
      <w:sz w:val="16"/>
      <w:szCs w:val="16"/>
    </w:rPr>
  </w:style>
  <w:style w:type="paragraph" w:styleId="CommentText">
    <w:name w:val="annotation text"/>
    <w:basedOn w:val="Normal"/>
    <w:link w:val="CommentTextChar"/>
    <w:unhideWhenUsed/>
    <w:rsid w:val="00573D98"/>
    <w:rPr>
      <w:sz w:val="20"/>
      <w:szCs w:val="20"/>
    </w:rPr>
  </w:style>
  <w:style w:type="character" w:customStyle="1" w:styleId="CommentTextChar">
    <w:name w:val="Comment Text Char"/>
    <w:basedOn w:val="DefaultParagraphFont"/>
    <w:link w:val="CommentText"/>
    <w:rsid w:val="00573D98"/>
    <w:rPr>
      <w:rFonts w:ascii="Museo Sans 300" w:hAnsi="Museo Sans 300" w:cs="Avenir-Book"/>
      <w:lang w:val="en-GB"/>
    </w:rPr>
  </w:style>
  <w:style w:type="paragraph" w:styleId="CommentSubject">
    <w:name w:val="annotation subject"/>
    <w:basedOn w:val="CommentText"/>
    <w:next w:val="CommentText"/>
    <w:link w:val="CommentSubjectChar"/>
    <w:semiHidden/>
    <w:unhideWhenUsed/>
    <w:rsid w:val="00573D98"/>
    <w:rPr>
      <w:b/>
      <w:bCs/>
    </w:rPr>
  </w:style>
  <w:style w:type="character" w:customStyle="1" w:styleId="CommentSubjectChar">
    <w:name w:val="Comment Subject Char"/>
    <w:basedOn w:val="CommentTextChar"/>
    <w:link w:val="CommentSubject"/>
    <w:semiHidden/>
    <w:rsid w:val="00573D98"/>
    <w:rPr>
      <w:rFonts w:ascii="Museo Sans 300" w:hAnsi="Museo Sans 300" w:cs="Avenir-Book"/>
      <w:b/>
      <w:bCs/>
      <w:lang w:val="en-GB"/>
    </w:rPr>
  </w:style>
  <w:style w:type="character" w:styleId="UnresolvedMention">
    <w:name w:val="Unresolved Mention"/>
    <w:basedOn w:val="DefaultParagraphFont"/>
    <w:uiPriority w:val="99"/>
    <w:semiHidden/>
    <w:unhideWhenUsed/>
    <w:rsid w:val="00F3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9366">
      <w:bodyDiv w:val="1"/>
      <w:marLeft w:val="0"/>
      <w:marRight w:val="0"/>
      <w:marTop w:val="0"/>
      <w:marBottom w:val="0"/>
      <w:divBdr>
        <w:top w:val="none" w:sz="0" w:space="0" w:color="auto"/>
        <w:left w:val="none" w:sz="0" w:space="0" w:color="auto"/>
        <w:bottom w:val="none" w:sz="0" w:space="0" w:color="auto"/>
        <w:right w:val="none" w:sz="0" w:space="0" w:color="auto"/>
      </w:divBdr>
    </w:div>
    <w:div w:id="1004087934">
      <w:bodyDiv w:val="1"/>
      <w:marLeft w:val="0"/>
      <w:marRight w:val="0"/>
      <w:marTop w:val="0"/>
      <w:marBottom w:val="0"/>
      <w:divBdr>
        <w:top w:val="none" w:sz="0" w:space="0" w:color="auto"/>
        <w:left w:val="none" w:sz="0" w:space="0" w:color="auto"/>
        <w:bottom w:val="none" w:sz="0" w:space="0" w:color="auto"/>
        <w:right w:val="none" w:sz="0" w:space="0" w:color="auto"/>
      </w:divBdr>
    </w:div>
    <w:div w:id="1338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inclusion.melbourn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lusionmelbourne.org.au/about-us/feed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fdc693-634d-4763-bf90-00d00288d749">
      <Terms xmlns="http://schemas.microsoft.com/office/infopath/2007/PartnerControls"/>
    </lcf76f155ced4ddcb4097134ff3c332f>
    <TaxCatchAll xmlns="5809f04b-1882-4a91-b704-76a0c5c4be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52B598B84E249814801363DDC722E" ma:contentTypeVersion="15" ma:contentTypeDescription="Create a new document." ma:contentTypeScope="" ma:versionID="643f42639eb67085d11f2906983ee5dd">
  <xsd:schema xmlns:xsd="http://www.w3.org/2001/XMLSchema" xmlns:xs="http://www.w3.org/2001/XMLSchema" xmlns:p="http://schemas.microsoft.com/office/2006/metadata/properties" xmlns:ns2="18fdc693-634d-4763-bf90-00d00288d749" xmlns:ns3="5809f04b-1882-4a91-b704-76a0c5c4be81" targetNamespace="http://schemas.microsoft.com/office/2006/metadata/properties" ma:root="true" ma:fieldsID="7b39bbc599ed7fa3cc9d241c85e34eb6" ns2:_="" ns3:_="">
    <xsd:import namespace="18fdc693-634d-4763-bf90-00d00288d749"/>
    <xsd:import namespace="5809f04b-1882-4a91-b704-76a0c5c4b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dc693-634d-4763-bf90-00d00288d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db6340-8792-4728-8fcf-c5ab49fbd1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f04b-1882-4a91-b704-76a0c5c4b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01f043-6fbb-4807-9f01-826db0a7121c}" ma:internalName="TaxCatchAll" ma:showField="CatchAllData" ma:web="5809f04b-1882-4a91-b704-76a0c5c4b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2361-D633-44D0-B19A-EF1C6027CCBD}">
  <ds:schemaRefs>
    <ds:schemaRef ds:uri="http://schemas.microsoft.com/office/2006/documentManagement/types"/>
    <ds:schemaRef ds:uri="9ff73082-3d19-4c42-a613-306b276d7ebb"/>
    <ds:schemaRef ds:uri="http://schemas.openxmlformats.org/package/2006/metadata/core-properties"/>
    <ds:schemaRef ds:uri="http://purl.org/dc/elements/1.1/"/>
    <ds:schemaRef ds:uri="http://schemas.microsoft.com/office/infopath/2007/PartnerControls"/>
    <ds:schemaRef ds:uri="65157f19-ec68-4510-9ecd-00a00274269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465956-4975-401F-9238-DF4FE9799C33}">
  <ds:schemaRefs>
    <ds:schemaRef ds:uri="http://schemas.microsoft.com/sharepoint/v3/contenttype/forms"/>
  </ds:schemaRefs>
</ds:datastoreItem>
</file>

<file path=customXml/itemProps3.xml><?xml version="1.0" encoding="utf-8"?>
<ds:datastoreItem xmlns:ds="http://schemas.openxmlformats.org/officeDocument/2006/customXml" ds:itemID="{BC254F5E-9572-4C8D-ACCE-D5206F89C82D}"/>
</file>

<file path=customXml/itemProps4.xml><?xml version="1.0" encoding="utf-8"?>
<ds:datastoreItem xmlns:ds="http://schemas.openxmlformats.org/officeDocument/2006/customXml" ds:itemID="{8944C7AA-6567-4EAE-911A-E91BAF42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Complaints and Appeals IT</vt:lpstr>
    </vt:vector>
  </TitlesOfParts>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Appeals IT</dc:title>
  <dc:creator>IM Staff</dc:creator>
  <cp:lastModifiedBy>Jane Howard</cp:lastModifiedBy>
  <cp:revision>3</cp:revision>
  <cp:lastPrinted>2025-01-15T05:46:00Z</cp:lastPrinted>
  <dcterms:created xsi:type="dcterms:W3CDTF">2025-03-08T04:27:00Z</dcterms:created>
  <dcterms:modified xsi:type="dcterms:W3CDTF">2025-03-08T04:28:00Z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0x010100CCD52B598B84E249814801363DDC722E</vt:lpwstr>
  </property>
  <property fmtid="{D5CDD505-2E9C-101B-9397-08002B2CF9AE}" pid="3" name="VIC Human Services Standards">
    <vt:lpwstr>75;#Null|3b04abd4-b7e1-4f0a-b6c3-056507f30782</vt:lpwstr>
  </property>
  <property fmtid="{D5CDD505-2E9C-101B-9397-08002B2CF9AE}" pid="4" name="NDIS Practice Standards">
    <vt:lpwstr>73;#Null|20c54b2a-5568-4497-adfa-dd6a6a8e746a</vt:lpwstr>
  </property>
  <property fmtid="{D5CDD505-2E9C-101B-9397-08002B2CF9AE}" pid="5" name="ISO 9001 2015">
    <vt:lpwstr>74;#Null|520e70c4-ec2e-46f6-89d9-ebdd1674d382</vt:lpwstr>
  </property>
  <property fmtid="{D5CDD505-2E9C-101B-9397-08002B2CF9AE}" pid="6" name="Department">
    <vt:lpwstr>12;#Inclusion Training|7c6da632-c764-4926-814b-25de92b37140</vt:lpwstr>
  </property>
  <property fmtid="{D5CDD505-2E9C-101B-9397-08002B2CF9AE}" pid="7" name="Document Type">
    <vt:lpwstr>6;#Policy and Procedures|b8b76589-3a9e-4868-9f32-3f0e94a6ae51</vt:lpwstr>
  </property>
  <property fmtid="{D5CDD505-2E9C-101B-9397-08002B2CF9AE}" pid="8" name="AuthorIds_UIVersion_2048">
    <vt:lpwstr>30</vt:lpwstr>
  </property>
  <property fmtid="{D5CDD505-2E9C-101B-9397-08002B2CF9AE}" pid="9" name="TaxKeyword">
    <vt:lpwstr/>
  </property>
  <property fmtid="{D5CDD505-2E9C-101B-9397-08002B2CF9AE}" pid="10" name="MediaServiceImageTags">
    <vt:lpwstr/>
  </property>
</Properties>
</file>