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08" w:tblpY="86"/>
        <w:tblW w:w="9547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000" w:firstRow="0" w:lastRow="0" w:firstColumn="0" w:lastColumn="0" w:noHBand="0" w:noVBand="0"/>
      </w:tblPr>
      <w:tblGrid>
        <w:gridCol w:w="1951"/>
        <w:gridCol w:w="7596"/>
      </w:tblGrid>
      <w:tr w:rsidR="00F243C6" w:rsidRPr="00D7345C" w14:paraId="765EB08D" w14:textId="77777777" w:rsidTr="0072281C">
        <w:trPr>
          <w:trHeight w:val="345"/>
        </w:trPr>
        <w:tc>
          <w:tcPr>
            <w:tcW w:w="1951" w:type="dxa"/>
            <w:shd w:val="clear" w:color="auto" w:fill="auto"/>
          </w:tcPr>
          <w:p w14:paraId="647B6D1B" w14:textId="065CDDC9" w:rsidR="00B005F4" w:rsidRPr="00D7345C" w:rsidRDefault="00B005F4" w:rsidP="005D4E7E">
            <w:bookmarkStart w:id="0" w:name="_GoBack"/>
            <w:bookmarkEnd w:id="0"/>
          </w:p>
        </w:tc>
        <w:tc>
          <w:tcPr>
            <w:tcW w:w="7596" w:type="dxa"/>
            <w:shd w:val="clear" w:color="auto" w:fill="auto"/>
          </w:tcPr>
          <w:p w14:paraId="6E158B88" w14:textId="47D98CC7" w:rsidR="00444C1B" w:rsidRPr="00D7345C" w:rsidRDefault="00444C1B" w:rsidP="005D4E7E">
            <w:pPr>
              <w:jc w:val="center"/>
              <w:rPr>
                <w:b/>
                <w:sz w:val="28"/>
                <w:szCs w:val="28"/>
              </w:rPr>
            </w:pPr>
            <w:r w:rsidRPr="00D7345C">
              <w:rPr>
                <w:b/>
              </w:rPr>
              <w:t xml:space="preserve"> </w:t>
            </w:r>
            <w:r w:rsidR="00E87CF2" w:rsidRPr="00D7345C">
              <w:rPr>
                <w:rFonts w:cs="Arial"/>
                <w:b/>
                <w:bCs/>
                <w:lang w:val="en-AU"/>
              </w:rPr>
              <w:t xml:space="preserve">  </w:t>
            </w:r>
            <w:r w:rsidR="00E87CF2" w:rsidRPr="00D7345C">
              <w:rPr>
                <w:rFonts w:cs="Arial"/>
                <w:b/>
                <w:bCs/>
                <w:sz w:val="28"/>
                <w:szCs w:val="28"/>
                <w:lang w:val="en-AU"/>
              </w:rPr>
              <w:t>Fees &amp; Refunds</w:t>
            </w:r>
            <w:r w:rsidR="00220DBD" w:rsidRPr="00D7345C">
              <w:rPr>
                <w:rFonts w:cs="Arial"/>
                <w:b/>
                <w:bCs/>
                <w:sz w:val="28"/>
                <w:szCs w:val="28"/>
                <w:lang w:val="en-AU"/>
              </w:rPr>
              <w:t>, Inclusion Training</w:t>
            </w:r>
          </w:p>
          <w:p w14:paraId="4B96E1BB" w14:textId="77777777" w:rsidR="00A31BB0" w:rsidRPr="00D7345C" w:rsidRDefault="00444C1B" w:rsidP="00444C1B">
            <w:pPr>
              <w:jc w:val="center"/>
              <w:rPr>
                <w:b/>
              </w:rPr>
            </w:pPr>
            <w:r w:rsidRPr="00D7345C">
              <w:rPr>
                <w:b/>
                <w:sz w:val="28"/>
                <w:szCs w:val="28"/>
              </w:rPr>
              <w:t>Policy and Procedure</w:t>
            </w:r>
          </w:p>
        </w:tc>
      </w:tr>
    </w:tbl>
    <w:p w14:paraId="29A80776" w14:textId="77777777" w:rsidR="001B226C" w:rsidRPr="00D7345C" w:rsidRDefault="001B226C" w:rsidP="005571C5"/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529"/>
        <w:gridCol w:w="425"/>
        <w:gridCol w:w="3544"/>
      </w:tblGrid>
      <w:tr w:rsidR="00F243C6" w:rsidRPr="00D7345C" w14:paraId="72B62016" w14:textId="77777777" w:rsidTr="000812DE">
        <w:trPr>
          <w:trHeight w:val="251"/>
        </w:trPr>
        <w:tc>
          <w:tcPr>
            <w:tcW w:w="552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</w:tcPr>
          <w:p w14:paraId="2E33059F" w14:textId="6A14B3F2" w:rsidR="00194867" w:rsidRPr="00D7345C" w:rsidRDefault="00194867" w:rsidP="00E87CF2">
            <w:pPr>
              <w:autoSpaceDE w:val="0"/>
              <w:autoSpaceDN w:val="0"/>
              <w:adjustRightInd w:val="0"/>
              <w:rPr>
                <w:rFonts w:cs="Arial"/>
                <w:lang w:val="en-AU"/>
              </w:rPr>
            </w:pPr>
            <w:r w:rsidRPr="00D7345C">
              <w:rPr>
                <w:b/>
              </w:rPr>
              <w:t xml:space="preserve">Applies to: </w:t>
            </w:r>
            <w:r w:rsidR="00E87CF2" w:rsidRPr="00D7345C">
              <w:rPr>
                <w:rFonts w:cs="Arial"/>
                <w:lang w:val="en-AU"/>
              </w:rPr>
              <w:t xml:space="preserve">all Inclusion </w:t>
            </w:r>
            <w:r w:rsidR="00220DBD" w:rsidRPr="00D7345C">
              <w:rPr>
                <w:rFonts w:cs="Arial"/>
                <w:lang w:val="en-AU"/>
              </w:rPr>
              <w:t>Training</w:t>
            </w:r>
            <w:r w:rsidR="00E87CF2" w:rsidRPr="00D7345C">
              <w:rPr>
                <w:rFonts w:cs="Arial"/>
                <w:lang w:val="en-AU"/>
              </w:rPr>
              <w:t xml:space="preserve"> staff and students and the Inclusion Melbourne </w:t>
            </w:r>
            <w:r w:rsidR="007C5522">
              <w:rPr>
                <w:rFonts w:cs="Arial"/>
                <w:lang w:val="en-AU"/>
              </w:rPr>
              <w:t>Head of Finance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404040"/>
              <w:bottom w:val="nil"/>
              <w:right w:val="single" w:sz="8" w:space="0" w:color="404040"/>
            </w:tcBorders>
          </w:tcPr>
          <w:p w14:paraId="766B70BC" w14:textId="77777777" w:rsidR="00194867" w:rsidRPr="00D7345C" w:rsidRDefault="00194867" w:rsidP="002B0B50">
            <w:pPr>
              <w:pStyle w:val="BodyText"/>
            </w:pPr>
          </w:p>
        </w:tc>
        <w:tc>
          <w:tcPr>
            <w:tcW w:w="354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</w:tcPr>
          <w:p w14:paraId="12D0E38C" w14:textId="57534B51" w:rsidR="00194867" w:rsidRPr="00D7345C" w:rsidRDefault="00194867" w:rsidP="0072592C">
            <w:pPr>
              <w:pStyle w:val="BodyText"/>
              <w:rPr>
                <w:i/>
              </w:rPr>
            </w:pPr>
            <w:r w:rsidRPr="00D7345C">
              <w:rPr>
                <w:b/>
              </w:rPr>
              <w:t>Version</w:t>
            </w:r>
            <w:r w:rsidRPr="00D7345C">
              <w:t xml:space="preserve">: </w:t>
            </w:r>
            <w:r w:rsidR="009D02AA">
              <w:t>3</w:t>
            </w:r>
          </w:p>
        </w:tc>
      </w:tr>
      <w:tr w:rsidR="00F243C6" w:rsidRPr="00D7345C" w14:paraId="25D38015" w14:textId="77777777" w:rsidTr="000812DE">
        <w:trPr>
          <w:trHeight w:val="198"/>
        </w:trPr>
        <w:tc>
          <w:tcPr>
            <w:tcW w:w="5529" w:type="dxa"/>
            <w:vMerge w:val="restart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</w:tcPr>
          <w:p w14:paraId="4FF9EEF7" w14:textId="4B52A62E" w:rsidR="00194867" w:rsidRPr="00D7345C" w:rsidRDefault="00194867" w:rsidP="0072592C">
            <w:pPr>
              <w:pStyle w:val="BodyText"/>
            </w:pPr>
            <w:r w:rsidRPr="00D7345C">
              <w:rPr>
                <w:b/>
              </w:rPr>
              <w:t>Specific responsibility:</w:t>
            </w:r>
            <w:r w:rsidR="00831F48" w:rsidRPr="00D7345C">
              <w:rPr>
                <w:b/>
              </w:rPr>
              <w:t xml:space="preserve"> </w:t>
            </w:r>
            <w:r w:rsidR="007C5522">
              <w:t>Head of Education and Training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404040"/>
              <w:bottom w:val="nil"/>
              <w:right w:val="single" w:sz="8" w:space="0" w:color="404040"/>
            </w:tcBorders>
          </w:tcPr>
          <w:p w14:paraId="4251670D" w14:textId="77777777" w:rsidR="00194867" w:rsidRPr="00D7345C" w:rsidRDefault="00194867" w:rsidP="002B0B50">
            <w:pPr>
              <w:pStyle w:val="BodyText"/>
            </w:pPr>
          </w:p>
        </w:tc>
        <w:tc>
          <w:tcPr>
            <w:tcW w:w="354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</w:tcPr>
          <w:p w14:paraId="47EB3816" w14:textId="739DF571" w:rsidR="00194867" w:rsidRPr="00D7345C" w:rsidRDefault="00194867" w:rsidP="0072592C">
            <w:pPr>
              <w:pStyle w:val="BodyText"/>
            </w:pPr>
            <w:r w:rsidRPr="00D7345C">
              <w:rPr>
                <w:b/>
              </w:rPr>
              <w:t>Date approved:</w:t>
            </w:r>
            <w:r w:rsidRPr="00D7345C">
              <w:t xml:space="preserve"> </w:t>
            </w:r>
            <w:r w:rsidR="009225C6">
              <w:t>30/10/24</w:t>
            </w:r>
          </w:p>
        </w:tc>
      </w:tr>
      <w:tr w:rsidR="00F243C6" w:rsidRPr="00D7345C" w14:paraId="7D97F9A9" w14:textId="77777777" w:rsidTr="000812DE">
        <w:trPr>
          <w:trHeight w:val="291"/>
        </w:trPr>
        <w:tc>
          <w:tcPr>
            <w:tcW w:w="5529" w:type="dxa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</w:tcPr>
          <w:p w14:paraId="3DE5622C" w14:textId="77777777" w:rsidR="00194867" w:rsidRPr="00D7345C" w:rsidRDefault="00194867" w:rsidP="002B0B50">
            <w:pPr>
              <w:pStyle w:val="BodyText"/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404040"/>
              <w:bottom w:val="nil"/>
              <w:right w:val="single" w:sz="8" w:space="0" w:color="404040"/>
            </w:tcBorders>
          </w:tcPr>
          <w:p w14:paraId="23F402D6" w14:textId="77777777" w:rsidR="00194867" w:rsidRPr="00D7345C" w:rsidRDefault="00194867" w:rsidP="002B0B50">
            <w:pPr>
              <w:pStyle w:val="BodyText"/>
            </w:pPr>
          </w:p>
        </w:tc>
        <w:tc>
          <w:tcPr>
            <w:tcW w:w="354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</w:tcPr>
          <w:p w14:paraId="631D7ED7" w14:textId="157E87B2" w:rsidR="00194867" w:rsidRPr="00D7345C" w:rsidRDefault="00194867" w:rsidP="0072592C">
            <w:pPr>
              <w:pStyle w:val="BodyText"/>
              <w:rPr>
                <w:i/>
              </w:rPr>
            </w:pPr>
            <w:r w:rsidRPr="00D7345C">
              <w:rPr>
                <w:b/>
              </w:rPr>
              <w:t>Next review date:</w:t>
            </w:r>
            <w:r w:rsidRPr="00D7345C">
              <w:t xml:space="preserve"> </w:t>
            </w:r>
            <w:r w:rsidR="009225C6">
              <w:t>30/10/24</w:t>
            </w:r>
            <w:r w:rsidR="00F7369F" w:rsidRPr="00D7345C">
              <w:rPr>
                <w:i/>
              </w:rPr>
              <w:t xml:space="preserve"> </w:t>
            </w:r>
          </w:p>
        </w:tc>
      </w:tr>
    </w:tbl>
    <w:p w14:paraId="4A51B664" w14:textId="77777777" w:rsidR="005D4E7E" w:rsidRPr="00D7345C" w:rsidRDefault="005D4E7E" w:rsidP="002B0B50">
      <w:pPr>
        <w:pStyle w:val="BodyText"/>
        <w:rPr>
          <w:b/>
        </w:rPr>
      </w:pPr>
    </w:p>
    <w:tbl>
      <w:tblPr>
        <w:tblW w:w="9498" w:type="dxa"/>
        <w:tblInd w:w="108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000" w:firstRow="0" w:lastRow="0" w:firstColumn="0" w:lastColumn="0" w:noHBand="0" w:noVBand="0"/>
      </w:tblPr>
      <w:tblGrid>
        <w:gridCol w:w="4111"/>
        <w:gridCol w:w="5387"/>
      </w:tblGrid>
      <w:tr w:rsidR="00D41498" w:rsidRPr="00D7345C" w14:paraId="0B747E93" w14:textId="77777777" w:rsidTr="008040D7">
        <w:trPr>
          <w:trHeight w:val="360"/>
        </w:trPr>
        <w:tc>
          <w:tcPr>
            <w:tcW w:w="9498" w:type="dxa"/>
            <w:gridSpan w:val="2"/>
            <w:shd w:val="clear" w:color="auto" w:fill="E6E6E6"/>
          </w:tcPr>
          <w:p w14:paraId="3BCEE6AE" w14:textId="77777777" w:rsidR="00D41498" w:rsidRPr="00D7345C" w:rsidRDefault="00D41498" w:rsidP="008040D7">
            <w:pPr>
              <w:pStyle w:val="BodyText"/>
              <w:rPr>
                <w:b/>
                <w:u w:val="single"/>
              </w:rPr>
            </w:pPr>
            <w:r w:rsidRPr="00D7345C">
              <w:rPr>
                <w:b/>
              </w:rPr>
              <w:t xml:space="preserve">Policy context: </w:t>
            </w:r>
          </w:p>
        </w:tc>
      </w:tr>
      <w:tr w:rsidR="00D41498" w:rsidRPr="00D7345C" w14:paraId="1FD807DC" w14:textId="77777777" w:rsidTr="008040D7">
        <w:trPr>
          <w:trHeight w:val="311"/>
        </w:trPr>
        <w:tc>
          <w:tcPr>
            <w:tcW w:w="4111" w:type="dxa"/>
          </w:tcPr>
          <w:p w14:paraId="0F288D52" w14:textId="77777777" w:rsidR="00D41498" w:rsidRPr="00D7345C" w:rsidRDefault="00D41498" w:rsidP="008040D7">
            <w:pPr>
              <w:pStyle w:val="BodyText"/>
            </w:pPr>
            <w:r w:rsidRPr="00D7345C">
              <w:t>Standards or other external requirements</w:t>
            </w:r>
          </w:p>
        </w:tc>
        <w:tc>
          <w:tcPr>
            <w:tcW w:w="5387" w:type="dxa"/>
          </w:tcPr>
          <w:p w14:paraId="4223DCA9" w14:textId="1C445C71" w:rsidR="00DC5D67" w:rsidRPr="00DC5D67" w:rsidRDefault="00DC5D67" w:rsidP="00D91C3E">
            <w:pPr>
              <w:spacing w:before="100"/>
              <w:rPr>
                <w:b/>
              </w:rPr>
            </w:pPr>
            <w:r w:rsidRPr="00DC5D67">
              <w:rPr>
                <w:b/>
              </w:rPr>
              <w:t>Condition 5 – Financial Management</w:t>
            </w:r>
          </w:p>
          <w:p w14:paraId="309FE8AA" w14:textId="77777777" w:rsidR="00DC5D67" w:rsidRDefault="00DC5D67" w:rsidP="00D91C3E">
            <w:pPr>
              <w:spacing w:before="100"/>
              <w:rPr>
                <w:b/>
              </w:rPr>
            </w:pPr>
          </w:p>
          <w:p w14:paraId="628979C5" w14:textId="2593EF97" w:rsidR="00DC5D67" w:rsidRPr="00DC5D67" w:rsidRDefault="00DC5D67" w:rsidP="00D91C3E">
            <w:pPr>
              <w:spacing w:before="100"/>
              <w:rPr>
                <w:bCs/>
              </w:rPr>
            </w:pPr>
            <w:r w:rsidRPr="00DC5D67">
              <w:rPr>
                <w:b/>
              </w:rPr>
              <w:t>AQTF Standard 2</w:t>
            </w:r>
            <w:r>
              <w:rPr>
                <w:b/>
              </w:rPr>
              <w:t>:</w:t>
            </w:r>
            <w:r w:rsidRPr="00DC5D67">
              <w:rPr>
                <w:b/>
              </w:rPr>
              <w:t xml:space="preserve"> </w:t>
            </w:r>
            <w:r w:rsidRPr="00DC5D67">
              <w:rPr>
                <w:bCs/>
              </w:rPr>
              <w:t>The RTO adheres to principles of access and equity and maximises outcomes for its clients</w:t>
            </w:r>
            <w:r>
              <w:rPr>
                <w:bCs/>
              </w:rPr>
              <w:t>:</w:t>
            </w:r>
          </w:p>
          <w:p w14:paraId="67A362A8" w14:textId="347F1425" w:rsidR="00DC5D67" w:rsidRPr="00DC5D67" w:rsidRDefault="00DC5D67" w:rsidP="00D91C3E">
            <w:pPr>
              <w:spacing w:before="100"/>
              <w:rPr>
                <w:b/>
              </w:rPr>
            </w:pPr>
            <w:r>
              <w:rPr>
                <w:b/>
              </w:rPr>
              <w:t xml:space="preserve">Element 2.3: </w:t>
            </w:r>
            <w:r w:rsidRPr="00DC5D67">
              <w:rPr>
                <w:bCs/>
              </w:rPr>
              <w:t>Before clients enrol or enter into an agreement, the RTO informs them about the training, assessment and support services to be provided, and about their rights and obligations.</w:t>
            </w:r>
          </w:p>
          <w:p w14:paraId="259B4DAD" w14:textId="77777777" w:rsidR="00DC5D67" w:rsidRDefault="00DC5D67" w:rsidP="00D91C3E">
            <w:pPr>
              <w:spacing w:before="100"/>
              <w:rPr>
                <w:b/>
              </w:rPr>
            </w:pPr>
          </w:p>
          <w:p w14:paraId="544C85DE" w14:textId="2701D31C" w:rsidR="00DC5D67" w:rsidRDefault="00D91C3E" w:rsidP="00D91C3E">
            <w:pPr>
              <w:spacing w:before="100"/>
            </w:pPr>
            <w:r w:rsidRPr="00D7345C">
              <w:rPr>
                <w:b/>
              </w:rPr>
              <w:t xml:space="preserve">AQTF </w:t>
            </w:r>
            <w:r w:rsidR="00DC5D67">
              <w:rPr>
                <w:b/>
              </w:rPr>
              <w:t>Standard 3</w:t>
            </w:r>
            <w:r w:rsidRPr="00D7345C">
              <w:rPr>
                <w:b/>
              </w:rPr>
              <w:t xml:space="preserve">: </w:t>
            </w:r>
            <w:r w:rsidR="00DC5D67" w:rsidRPr="00DC5D67">
              <w:t>Management systems are responsive to the needs of clients, staff and stakeholders, and the environment in which the RTO operates</w:t>
            </w:r>
            <w:r w:rsidR="00DC5D67">
              <w:t xml:space="preserve">: </w:t>
            </w:r>
          </w:p>
          <w:p w14:paraId="1DE24846" w14:textId="685676E4" w:rsidR="00DC5D67" w:rsidRDefault="00DC5D67" w:rsidP="00D91C3E">
            <w:pPr>
              <w:spacing w:before="100"/>
            </w:pPr>
            <w:r w:rsidRPr="00DC5D67">
              <w:rPr>
                <w:b/>
                <w:bCs/>
              </w:rPr>
              <w:t>Element 3.1</w:t>
            </w:r>
            <w:r>
              <w:rPr>
                <w:b/>
                <w:bCs/>
              </w:rPr>
              <w:t xml:space="preserve">: </w:t>
            </w:r>
            <w:r w:rsidRPr="00DC5D67">
              <w:t>The RTO’s management of its operations ensures clients receive the services detailed in their agreement with the RTO.</w:t>
            </w:r>
          </w:p>
          <w:p w14:paraId="50BDE3C6" w14:textId="52174B50" w:rsidR="00304F21" w:rsidRPr="00D7345C" w:rsidRDefault="00304F21" w:rsidP="00DC5D67">
            <w:pPr>
              <w:spacing w:before="100"/>
              <w:rPr>
                <w:i/>
              </w:rPr>
            </w:pPr>
          </w:p>
        </w:tc>
      </w:tr>
    </w:tbl>
    <w:p w14:paraId="3DB25019" w14:textId="77777777" w:rsidR="00D41498" w:rsidRPr="00D7345C" w:rsidRDefault="00D41498" w:rsidP="002B0B50">
      <w:pPr>
        <w:pStyle w:val="BodyText"/>
        <w:rPr>
          <w:b/>
        </w:rPr>
      </w:pPr>
    </w:p>
    <w:p w14:paraId="7CB7AC5D" w14:textId="77777777" w:rsidR="00444C1B" w:rsidRPr="00D7345C" w:rsidRDefault="00AB199D" w:rsidP="00B005F4">
      <w:pPr>
        <w:pStyle w:val="BodyText"/>
        <w:jc w:val="both"/>
        <w:rPr>
          <w:b/>
          <w:sz w:val="24"/>
          <w:szCs w:val="24"/>
        </w:rPr>
      </w:pPr>
      <w:r w:rsidRPr="00D7345C">
        <w:rPr>
          <w:b/>
          <w:sz w:val="24"/>
          <w:szCs w:val="24"/>
        </w:rPr>
        <w:t>OBJECTIVE</w:t>
      </w:r>
    </w:p>
    <w:p w14:paraId="2D5C7175" w14:textId="0DAA9545" w:rsidR="00E87CF2" w:rsidRPr="00D7345C" w:rsidRDefault="00E87CF2" w:rsidP="009225C6">
      <w:pPr>
        <w:autoSpaceDE w:val="0"/>
        <w:autoSpaceDN w:val="0"/>
        <w:adjustRightInd w:val="0"/>
        <w:rPr>
          <w:rFonts w:cs="Arial"/>
          <w:lang w:val="en-AU"/>
        </w:rPr>
      </w:pPr>
      <w:r w:rsidRPr="00D7345C">
        <w:rPr>
          <w:rFonts w:cs="Arial"/>
          <w:lang w:val="en-AU"/>
        </w:rPr>
        <w:t xml:space="preserve">To ensure that students are well informed of the financial considerations of their enrolment, this policy and </w:t>
      </w:r>
      <w:r w:rsidR="007D7208" w:rsidRPr="00D7345C">
        <w:rPr>
          <w:rFonts w:cs="Arial"/>
          <w:lang w:val="en-AU"/>
        </w:rPr>
        <w:t>procedure</w:t>
      </w:r>
      <w:r w:rsidRPr="00D7345C">
        <w:rPr>
          <w:rFonts w:cs="Arial"/>
          <w:lang w:val="en-AU"/>
        </w:rPr>
        <w:t xml:space="preserve"> undertakes to provide the following fee information to each student prior to enrolment:</w:t>
      </w:r>
    </w:p>
    <w:p w14:paraId="4E797124" w14:textId="77777777" w:rsidR="00B005F4" w:rsidRPr="00D7345C" w:rsidRDefault="00B005F4" w:rsidP="00B005F4">
      <w:pPr>
        <w:autoSpaceDE w:val="0"/>
        <w:autoSpaceDN w:val="0"/>
        <w:adjustRightInd w:val="0"/>
        <w:jc w:val="both"/>
        <w:rPr>
          <w:rFonts w:cs="Arial"/>
          <w:lang w:val="en-AU"/>
        </w:rPr>
      </w:pPr>
    </w:p>
    <w:p w14:paraId="23F6518A" w14:textId="518007CE" w:rsidR="00E87CF2" w:rsidRPr="00D7345C" w:rsidRDefault="007D7208" w:rsidP="00B005F4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  <w:lang w:val="en-AU"/>
        </w:rPr>
      </w:pPr>
      <w:r w:rsidRPr="00D7345C">
        <w:rPr>
          <w:rFonts w:cs="Arial"/>
          <w:lang w:val="en-AU"/>
        </w:rPr>
        <w:t>The</w:t>
      </w:r>
      <w:r w:rsidR="00E87CF2" w:rsidRPr="00D7345C">
        <w:rPr>
          <w:rFonts w:cs="Arial"/>
          <w:lang w:val="en-AU"/>
        </w:rPr>
        <w:t xml:space="preserve"> total amount of all fees including course fees</w:t>
      </w:r>
      <w:r w:rsidR="0010768F" w:rsidRPr="00D7345C">
        <w:rPr>
          <w:rFonts w:cs="Arial"/>
          <w:lang w:val="en-AU"/>
        </w:rPr>
        <w:t>, support fees or</w:t>
      </w:r>
      <w:r w:rsidR="00E87CF2" w:rsidRPr="00D7345C">
        <w:rPr>
          <w:rFonts w:cs="Arial"/>
          <w:lang w:val="en-AU"/>
        </w:rPr>
        <w:t xml:space="preserve"> administration fees</w:t>
      </w:r>
    </w:p>
    <w:p w14:paraId="3BA2DE58" w14:textId="77777777" w:rsidR="00E87CF2" w:rsidRPr="00D7345C" w:rsidRDefault="00B005F4" w:rsidP="00B005F4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  <w:lang w:val="en-AU"/>
        </w:rPr>
      </w:pPr>
      <w:r w:rsidRPr="00D7345C">
        <w:rPr>
          <w:rFonts w:cs="Arial"/>
          <w:lang w:val="en-AU"/>
        </w:rPr>
        <w:t>A</w:t>
      </w:r>
      <w:r w:rsidR="007D7208" w:rsidRPr="00D7345C">
        <w:rPr>
          <w:rFonts w:cs="Arial"/>
          <w:lang w:val="en-AU"/>
        </w:rPr>
        <w:t>ny</w:t>
      </w:r>
      <w:r w:rsidR="00E87CF2" w:rsidRPr="00D7345C">
        <w:rPr>
          <w:rFonts w:cs="Arial"/>
          <w:lang w:val="en-AU"/>
        </w:rPr>
        <w:t xml:space="preserve"> other charges;</w:t>
      </w:r>
    </w:p>
    <w:p w14:paraId="7238AD2F" w14:textId="35DD74EE" w:rsidR="00E87CF2" w:rsidRPr="00D7345C" w:rsidRDefault="007D7208" w:rsidP="00B005F4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  <w:lang w:val="en-AU"/>
        </w:rPr>
      </w:pPr>
      <w:r w:rsidRPr="00D7345C">
        <w:rPr>
          <w:rFonts w:cs="Arial"/>
          <w:lang w:val="en-AU"/>
        </w:rPr>
        <w:t>Payment</w:t>
      </w:r>
      <w:r w:rsidR="00E87CF2" w:rsidRPr="00D7345C">
        <w:rPr>
          <w:rFonts w:cs="Arial"/>
          <w:lang w:val="en-AU"/>
        </w:rPr>
        <w:t xml:space="preserve"> terms, including the timing and amount of fees to be paid </w:t>
      </w:r>
    </w:p>
    <w:p w14:paraId="0BDBA528" w14:textId="05F48916" w:rsidR="0010768F" w:rsidRPr="00D7345C" w:rsidRDefault="0010768F" w:rsidP="00B005F4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  <w:lang w:val="en-AU"/>
        </w:rPr>
      </w:pPr>
      <w:r w:rsidRPr="00D7345C">
        <w:rPr>
          <w:rFonts w:cs="Arial"/>
          <w:lang w:val="en-AU"/>
        </w:rPr>
        <w:t>Cancellation of enrolment or withdrawal financial conditions</w:t>
      </w:r>
    </w:p>
    <w:p w14:paraId="67F5F19E" w14:textId="77777777" w:rsidR="000F6CA0" w:rsidRPr="00D7345C" w:rsidRDefault="007D7208" w:rsidP="00B005F4">
      <w:pPr>
        <w:pStyle w:val="BodyText"/>
        <w:numPr>
          <w:ilvl w:val="0"/>
          <w:numId w:val="31"/>
        </w:numPr>
        <w:jc w:val="both"/>
      </w:pPr>
      <w:r w:rsidRPr="00D7345C">
        <w:rPr>
          <w:rFonts w:cs="Arial"/>
          <w:lang w:val="en-AU"/>
        </w:rPr>
        <w:t>Conditions</w:t>
      </w:r>
      <w:r w:rsidR="00E87CF2" w:rsidRPr="00D7345C">
        <w:rPr>
          <w:rFonts w:cs="Arial"/>
          <w:lang w:val="en-AU"/>
        </w:rPr>
        <w:t xml:space="preserve"> for refunds and financial hardship.</w:t>
      </w:r>
    </w:p>
    <w:p w14:paraId="61431AAE" w14:textId="77777777" w:rsidR="00444C1B" w:rsidRPr="00D7345C" w:rsidRDefault="00181F93" w:rsidP="00B005F4">
      <w:pPr>
        <w:pStyle w:val="BodyText"/>
        <w:jc w:val="both"/>
        <w:rPr>
          <w:b/>
          <w:sz w:val="24"/>
          <w:szCs w:val="24"/>
        </w:rPr>
      </w:pPr>
      <w:r w:rsidRPr="00D7345C">
        <w:rPr>
          <w:b/>
        </w:rPr>
        <w:br/>
      </w:r>
      <w:r w:rsidRPr="00D7345C">
        <w:rPr>
          <w:b/>
          <w:sz w:val="24"/>
          <w:szCs w:val="24"/>
        </w:rPr>
        <w:t>SCOPE</w:t>
      </w:r>
    </w:p>
    <w:p w14:paraId="66636EB5" w14:textId="664B4CE2" w:rsidR="008F6AED" w:rsidRPr="00D7345C" w:rsidRDefault="00E87CF2" w:rsidP="00B005F4">
      <w:pPr>
        <w:tabs>
          <w:tab w:val="left" w:pos="9356"/>
        </w:tabs>
        <w:autoSpaceDE w:val="0"/>
        <w:autoSpaceDN w:val="0"/>
        <w:adjustRightInd w:val="0"/>
      </w:pPr>
      <w:r w:rsidRPr="00D7345C">
        <w:rPr>
          <w:rFonts w:cs="Arial"/>
          <w:lang w:val="en-AU"/>
        </w:rPr>
        <w:lastRenderedPageBreak/>
        <w:t xml:space="preserve">This policy and procedures applies to all Inclusion </w:t>
      </w:r>
      <w:r w:rsidR="0010768F" w:rsidRPr="00D7345C">
        <w:rPr>
          <w:rFonts w:cs="Arial"/>
          <w:lang w:val="en-AU"/>
        </w:rPr>
        <w:t>Training</w:t>
      </w:r>
      <w:r w:rsidRPr="00D7345C">
        <w:rPr>
          <w:rFonts w:cs="Arial"/>
          <w:lang w:val="en-AU"/>
        </w:rPr>
        <w:t xml:space="preserve"> staff and students and the</w:t>
      </w:r>
      <w:r w:rsidR="00B005F4" w:rsidRPr="00D7345C">
        <w:rPr>
          <w:rFonts w:cs="Arial"/>
          <w:lang w:val="en-AU"/>
        </w:rPr>
        <w:t xml:space="preserve"> Inclusion Melbourne </w:t>
      </w:r>
      <w:r w:rsidR="009225C6">
        <w:rPr>
          <w:rFonts w:cs="Arial"/>
          <w:lang w:val="en-AU"/>
        </w:rPr>
        <w:t xml:space="preserve">Head of Finance. </w:t>
      </w:r>
      <w:r w:rsidR="005D4E7E" w:rsidRPr="00D7345C">
        <w:br/>
      </w:r>
    </w:p>
    <w:p w14:paraId="0F9B0C5E" w14:textId="77777777" w:rsidR="00534846" w:rsidRPr="00D7345C" w:rsidRDefault="008F6AED" w:rsidP="00B005F4">
      <w:pPr>
        <w:pStyle w:val="BodyText"/>
        <w:jc w:val="both"/>
        <w:rPr>
          <w:b/>
          <w:caps/>
          <w:sz w:val="24"/>
          <w:szCs w:val="24"/>
        </w:rPr>
      </w:pPr>
      <w:r w:rsidRPr="00D7345C">
        <w:rPr>
          <w:b/>
          <w:caps/>
          <w:sz w:val="24"/>
          <w:szCs w:val="24"/>
        </w:rPr>
        <w:t>Policy Statement</w:t>
      </w:r>
    </w:p>
    <w:p w14:paraId="4A363A3B" w14:textId="19A59D37" w:rsidR="00E87CF2" w:rsidRPr="00D7345C" w:rsidRDefault="00E87CF2" w:rsidP="007659DF">
      <w:pPr>
        <w:autoSpaceDE w:val="0"/>
        <w:autoSpaceDN w:val="0"/>
        <w:adjustRightInd w:val="0"/>
        <w:rPr>
          <w:rFonts w:cs="Arial"/>
          <w:lang w:val="en-AU"/>
        </w:rPr>
      </w:pPr>
      <w:r w:rsidRPr="00D7345C">
        <w:rPr>
          <w:rFonts w:cs="Arial"/>
          <w:lang w:val="en-AU"/>
        </w:rPr>
        <w:t xml:space="preserve">In accordance with applicable legislation, Inclusion </w:t>
      </w:r>
      <w:r w:rsidR="0010768F" w:rsidRPr="00D7345C">
        <w:rPr>
          <w:rFonts w:cs="Arial"/>
          <w:lang w:val="en-AU"/>
        </w:rPr>
        <w:t>Training</w:t>
      </w:r>
      <w:r w:rsidRPr="00D7345C">
        <w:rPr>
          <w:rFonts w:cs="Arial"/>
          <w:lang w:val="en-AU"/>
        </w:rPr>
        <w:t xml:space="preserve"> is entitled to charge fees for items</w:t>
      </w:r>
    </w:p>
    <w:p w14:paraId="1D64B93C" w14:textId="3935A68C" w:rsidR="00E87CF2" w:rsidRPr="00D7345C" w:rsidRDefault="00E87CF2" w:rsidP="007659DF">
      <w:pPr>
        <w:autoSpaceDE w:val="0"/>
        <w:autoSpaceDN w:val="0"/>
        <w:adjustRightInd w:val="0"/>
        <w:rPr>
          <w:rFonts w:cs="Arial"/>
          <w:lang w:val="en-AU"/>
        </w:rPr>
      </w:pPr>
      <w:r w:rsidRPr="00D7345C">
        <w:rPr>
          <w:rFonts w:cs="Arial"/>
          <w:lang w:val="en-AU"/>
        </w:rPr>
        <w:t xml:space="preserve">or services provided to students undertaking a course of study. Inclusion </w:t>
      </w:r>
      <w:r w:rsidR="0010768F" w:rsidRPr="00D7345C">
        <w:rPr>
          <w:rFonts w:cs="Arial"/>
          <w:lang w:val="en-AU"/>
        </w:rPr>
        <w:t>Training</w:t>
      </w:r>
      <w:r w:rsidRPr="00D7345C">
        <w:rPr>
          <w:rFonts w:cs="Arial"/>
          <w:lang w:val="en-AU"/>
        </w:rPr>
        <w:t xml:space="preserve"> is committed</w:t>
      </w:r>
    </w:p>
    <w:p w14:paraId="3C22F76F" w14:textId="77777777" w:rsidR="00E87CF2" w:rsidRPr="00D7345C" w:rsidRDefault="00E87CF2" w:rsidP="007659DF">
      <w:pPr>
        <w:autoSpaceDE w:val="0"/>
        <w:autoSpaceDN w:val="0"/>
        <w:adjustRightInd w:val="0"/>
        <w:rPr>
          <w:rFonts w:cs="Arial"/>
          <w:lang w:val="en-AU"/>
        </w:rPr>
      </w:pPr>
      <w:r w:rsidRPr="00D7345C">
        <w:rPr>
          <w:rFonts w:cs="Arial"/>
          <w:lang w:val="en-AU"/>
        </w:rPr>
        <w:t>to ensuring that fees paid by students are protected as specified by the AQTF essential conditions</w:t>
      </w:r>
    </w:p>
    <w:p w14:paraId="5B7A6B80" w14:textId="5D6B7B95" w:rsidR="00D7345C" w:rsidRDefault="00E87CF2" w:rsidP="007659DF">
      <w:pPr>
        <w:pStyle w:val="BodyText"/>
        <w:rPr>
          <w:rFonts w:cs="Arial"/>
          <w:lang w:val="en-AU"/>
        </w:rPr>
      </w:pPr>
      <w:r w:rsidRPr="00D7345C">
        <w:rPr>
          <w:rFonts w:cs="Arial"/>
          <w:lang w:val="en-AU"/>
        </w:rPr>
        <w:t>and standards for continuing registration.</w:t>
      </w:r>
    </w:p>
    <w:p w14:paraId="53A8B1D1" w14:textId="77777777" w:rsidR="007659DF" w:rsidRDefault="007659DF" w:rsidP="007659DF">
      <w:pPr>
        <w:rPr>
          <w:rFonts w:cs="Arial"/>
          <w:lang w:val="en-AU"/>
        </w:rPr>
      </w:pPr>
    </w:p>
    <w:p w14:paraId="2D191F59" w14:textId="09BA8103" w:rsidR="008F6AED" w:rsidRPr="007659DF" w:rsidRDefault="008F6AED" w:rsidP="007659DF">
      <w:pPr>
        <w:rPr>
          <w:rFonts w:cs="Arial"/>
          <w:lang w:val="en-AU"/>
        </w:rPr>
      </w:pPr>
      <w:r w:rsidRPr="00D7345C">
        <w:rPr>
          <w:b/>
          <w:caps/>
          <w:sz w:val="24"/>
          <w:szCs w:val="24"/>
        </w:rPr>
        <w:t>PROCEDURES</w:t>
      </w:r>
      <w:r w:rsidR="007659DF">
        <w:rPr>
          <w:b/>
          <w:caps/>
          <w:sz w:val="24"/>
          <w:szCs w:val="24"/>
        </w:rPr>
        <w:br/>
      </w:r>
    </w:p>
    <w:p w14:paraId="37D46563" w14:textId="77777777" w:rsidR="008F6AED" w:rsidRPr="00D7345C" w:rsidRDefault="00E87CF2" w:rsidP="00CB27A6">
      <w:pPr>
        <w:pStyle w:val="BodyText"/>
        <w:numPr>
          <w:ilvl w:val="0"/>
          <w:numId w:val="25"/>
        </w:numPr>
        <w:ind w:left="284" w:hanging="284"/>
        <w:jc w:val="both"/>
        <w:rPr>
          <w:b/>
        </w:rPr>
      </w:pPr>
      <w:r w:rsidRPr="00D7345C">
        <w:rPr>
          <w:rFonts w:cs="Arial"/>
          <w:b/>
          <w:bCs/>
          <w:lang w:val="en-AU"/>
        </w:rPr>
        <w:t>Fees and charges</w:t>
      </w:r>
    </w:p>
    <w:p w14:paraId="6A424873" w14:textId="3F967AE8" w:rsidR="00CC2A1D" w:rsidRDefault="00CC2A1D" w:rsidP="00B005F4">
      <w:pPr>
        <w:autoSpaceDE w:val="0"/>
        <w:autoSpaceDN w:val="0"/>
        <w:adjustRightInd w:val="0"/>
        <w:jc w:val="both"/>
        <w:rPr>
          <w:rFonts w:cs="Arial"/>
          <w:lang w:val="en-AU"/>
        </w:rPr>
      </w:pPr>
      <w:r w:rsidRPr="00D7345C">
        <w:rPr>
          <w:rFonts w:cs="Arial"/>
          <w:lang w:val="en-AU"/>
        </w:rPr>
        <w:t xml:space="preserve">Inclusion </w:t>
      </w:r>
      <w:r w:rsidR="0010768F" w:rsidRPr="00D7345C">
        <w:rPr>
          <w:rFonts w:cs="Arial"/>
          <w:lang w:val="en-AU"/>
        </w:rPr>
        <w:t>Training’s</w:t>
      </w:r>
      <w:r w:rsidRPr="00D7345C">
        <w:rPr>
          <w:rFonts w:cs="Arial"/>
          <w:lang w:val="en-AU"/>
        </w:rPr>
        <w:t xml:space="preserve"> training and education delivery model includes the following fees:</w:t>
      </w:r>
    </w:p>
    <w:p w14:paraId="0DC71F05" w14:textId="77777777" w:rsidR="007C5522" w:rsidRDefault="007C5522" w:rsidP="00B005F4">
      <w:pPr>
        <w:autoSpaceDE w:val="0"/>
        <w:autoSpaceDN w:val="0"/>
        <w:adjustRightInd w:val="0"/>
        <w:jc w:val="both"/>
        <w:rPr>
          <w:rFonts w:cs="Arial"/>
          <w:lang w:val="en-AU"/>
        </w:rPr>
      </w:pPr>
    </w:p>
    <w:p w14:paraId="0BE25A8B" w14:textId="5FAE139B" w:rsidR="00CC2A1D" w:rsidRPr="00D7345C" w:rsidRDefault="007C5522" w:rsidP="00B005F4">
      <w:pPr>
        <w:autoSpaceDE w:val="0"/>
        <w:autoSpaceDN w:val="0"/>
        <w:adjustRightInd w:val="0"/>
        <w:jc w:val="both"/>
        <w:rPr>
          <w:rFonts w:cs="Arial"/>
          <w:lang w:val="en-AU"/>
        </w:rPr>
      </w:pPr>
      <w:r>
        <w:rPr>
          <w:rFonts w:cs="Arial"/>
          <w:lang w:val="en-AU"/>
        </w:rPr>
        <w:t>Course Fees:</w:t>
      </w:r>
    </w:p>
    <w:p w14:paraId="05B83628" w14:textId="729E1091" w:rsidR="00CC2A1D" w:rsidRDefault="007659DF" w:rsidP="00B005F4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Arial"/>
          <w:lang w:val="en-AU"/>
        </w:rPr>
      </w:pPr>
      <w:r>
        <w:rPr>
          <w:rFonts w:cs="Arial"/>
          <w:lang w:val="en-AU"/>
        </w:rPr>
        <w:t>Tuition Fees</w:t>
      </w:r>
    </w:p>
    <w:p w14:paraId="3C0E059C" w14:textId="1E913080" w:rsidR="007659DF" w:rsidRDefault="007659DF" w:rsidP="00B005F4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Arial"/>
          <w:lang w:val="en-AU"/>
        </w:rPr>
      </w:pPr>
      <w:r>
        <w:rPr>
          <w:rFonts w:cs="Arial"/>
          <w:lang w:val="en-AU"/>
        </w:rPr>
        <w:t>Admini</w:t>
      </w:r>
      <w:r w:rsidR="007C5522">
        <w:rPr>
          <w:rFonts w:cs="Arial"/>
          <w:lang w:val="en-AU"/>
        </w:rPr>
        <w:t>stration Fee</w:t>
      </w:r>
    </w:p>
    <w:p w14:paraId="27577EBF" w14:textId="77777777" w:rsidR="007C5522" w:rsidRDefault="007C5522" w:rsidP="007C5522">
      <w:pPr>
        <w:autoSpaceDE w:val="0"/>
        <w:autoSpaceDN w:val="0"/>
        <w:adjustRightInd w:val="0"/>
        <w:jc w:val="both"/>
        <w:rPr>
          <w:rFonts w:cs="Arial"/>
          <w:lang w:val="en-AU"/>
        </w:rPr>
      </w:pPr>
    </w:p>
    <w:p w14:paraId="14B30466" w14:textId="39839538" w:rsidR="007C5522" w:rsidRPr="007C5522" w:rsidRDefault="007C5522" w:rsidP="007C5522">
      <w:pPr>
        <w:autoSpaceDE w:val="0"/>
        <w:autoSpaceDN w:val="0"/>
        <w:adjustRightInd w:val="0"/>
        <w:jc w:val="both"/>
        <w:rPr>
          <w:rFonts w:cs="Arial"/>
          <w:lang w:val="en-AU"/>
        </w:rPr>
      </w:pPr>
      <w:r>
        <w:rPr>
          <w:rFonts w:cs="Arial"/>
          <w:lang w:val="en-AU"/>
        </w:rPr>
        <w:t>NDIS Fees:</w:t>
      </w:r>
    </w:p>
    <w:p w14:paraId="07023DBA" w14:textId="7F97CC64" w:rsidR="00CC2A1D" w:rsidRPr="00D7345C" w:rsidRDefault="007C5522" w:rsidP="00B005F4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Arial"/>
          <w:lang w:val="en-AU"/>
        </w:rPr>
      </w:pPr>
      <w:r>
        <w:rPr>
          <w:rFonts w:cs="Arial"/>
          <w:lang w:val="en-AU"/>
        </w:rPr>
        <w:t>NDIS Support Fees (as per NDIS pricing arrangements and price guide)</w:t>
      </w:r>
    </w:p>
    <w:p w14:paraId="2CA3EA3E" w14:textId="77777777" w:rsidR="00CC2A1D" w:rsidRPr="00D7345C" w:rsidRDefault="00CC2A1D" w:rsidP="00B005F4">
      <w:pPr>
        <w:autoSpaceDE w:val="0"/>
        <w:autoSpaceDN w:val="0"/>
        <w:adjustRightInd w:val="0"/>
        <w:jc w:val="both"/>
        <w:rPr>
          <w:rFonts w:cs="Arial"/>
          <w:lang w:val="en-AU"/>
        </w:rPr>
      </w:pPr>
    </w:p>
    <w:p w14:paraId="189DA2F5" w14:textId="0ADE5F5C" w:rsidR="00CC2A1D" w:rsidRPr="00D7345C" w:rsidRDefault="00CC2A1D" w:rsidP="00B005F4">
      <w:pPr>
        <w:autoSpaceDE w:val="0"/>
        <w:autoSpaceDN w:val="0"/>
        <w:adjustRightInd w:val="0"/>
        <w:jc w:val="both"/>
        <w:rPr>
          <w:rFonts w:cs="Arial"/>
          <w:lang w:val="en-AU"/>
        </w:rPr>
      </w:pPr>
      <w:r w:rsidRPr="00D7345C">
        <w:rPr>
          <w:rFonts w:cs="Arial"/>
          <w:lang w:val="en-AU"/>
        </w:rPr>
        <w:t xml:space="preserve">Fees do not cover transportation to and from the venue, meals or </w:t>
      </w:r>
      <w:r w:rsidR="007C5522">
        <w:rPr>
          <w:rFonts w:cs="Arial"/>
          <w:lang w:val="en-AU"/>
        </w:rPr>
        <w:t xml:space="preserve">other fees unrelated to the course requirements or NDIS supports. </w:t>
      </w:r>
    </w:p>
    <w:p w14:paraId="728161B3" w14:textId="77777777" w:rsidR="00CC2A1D" w:rsidRPr="00D7345C" w:rsidRDefault="00CC2A1D" w:rsidP="00B005F4">
      <w:pPr>
        <w:autoSpaceDE w:val="0"/>
        <w:autoSpaceDN w:val="0"/>
        <w:adjustRightInd w:val="0"/>
        <w:jc w:val="both"/>
        <w:rPr>
          <w:rFonts w:cs="Arial"/>
          <w:lang w:val="en-AU"/>
        </w:rPr>
      </w:pPr>
    </w:p>
    <w:p w14:paraId="688E01EB" w14:textId="0C328B5E" w:rsidR="00CC2A1D" w:rsidRPr="00D7345C" w:rsidRDefault="00CC2A1D" w:rsidP="007C5522">
      <w:pPr>
        <w:autoSpaceDE w:val="0"/>
        <w:autoSpaceDN w:val="0"/>
        <w:adjustRightInd w:val="0"/>
        <w:rPr>
          <w:rFonts w:cs="Arial"/>
          <w:lang w:val="en-AU"/>
        </w:rPr>
      </w:pPr>
      <w:r w:rsidRPr="00D7345C">
        <w:rPr>
          <w:rFonts w:cs="Arial"/>
          <w:lang w:val="en-AU"/>
        </w:rPr>
        <w:t xml:space="preserve">Course fees </w:t>
      </w:r>
      <w:r w:rsidR="007C5522">
        <w:rPr>
          <w:rFonts w:cs="Arial"/>
          <w:lang w:val="en-AU"/>
        </w:rPr>
        <w:t>may</w:t>
      </w:r>
      <w:r w:rsidRPr="00D7345C">
        <w:rPr>
          <w:rFonts w:cs="Arial"/>
          <w:lang w:val="en-AU"/>
        </w:rPr>
        <w:t xml:space="preserve"> vary for different training programs. For a full list of current fees and charges, the Inclusion </w:t>
      </w:r>
      <w:r w:rsidR="0010768F" w:rsidRPr="00D7345C">
        <w:rPr>
          <w:rFonts w:cs="Arial"/>
          <w:lang w:val="en-AU"/>
        </w:rPr>
        <w:t>Training</w:t>
      </w:r>
      <w:r w:rsidRPr="00D7345C">
        <w:rPr>
          <w:rFonts w:cs="Arial"/>
          <w:lang w:val="en-AU"/>
        </w:rPr>
        <w:t xml:space="preserve"> Schedule of Fees is available on the organisation's QMS (Quality Management System) and the Inclusion Melbourne website</w:t>
      </w:r>
      <w:r w:rsidR="0010768F" w:rsidRPr="00D7345C">
        <w:rPr>
          <w:rFonts w:cs="Arial"/>
          <w:lang w:val="en-AU"/>
        </w:rPr>
        <w:t>.</w:t>
      </w:r>
    </w:p>
    <w:p w14:paraId="2AEC71CF" w14:textId="77777777" w:rsidR="00CC2A1D" w:rsidRPr="00D7345C" w:rsidRDefault="00CC2A1D" w:rsidP="00B005F4">
      <w:pPr>
        <w:autoSpaceDE w:val="0"/>
        <w:autoSpaceDN w:val="0"/>
        <w:adjustRightInd w:val="0"/>
        <w:jc w:val="both"/>
        <w:rPr>
          <w:rFonts w:cs="Arial"/>
          <w:lang w:val="en-AU"/>
        </w:rPr>
      </w:pPr>
    </w:p>
    <w:p w14:paraId="4BD6D915" w14:textId="08E9F024" w:rsidR="00CC2A1D" w:rsidRPr="00D7345C" w:rsidRDefault="00CC2A1D" w:rsidP="007C5522">
      <w:pPr>
        <w:autoSpaceDE w:val="0"/>
        <w:autoSpaceDN w:val="0"/>
        <w:adjustRightInd w:val="0"/>
        <w:rPr>
          <w:rFonts w:cs="Arial"/>
          <w:lang w:val="en-AU"/>
        </w:rPr>
      </w:pPr>
      <w:r w:rsidRPr="00D7345C">
        <w:rPr>
          <w:rFonts w:cs="Arial"/>
          <w:lang w:val="en-AU"/>
        </w:rPr>
        <w:t>Fees are payable when the student has received notification of enrolment.</w:t>
      </w:r>
      <w:r w:rsidR="007C5522">
        <w:rPr>
          <w:rFonts w:cs="Arial"/>
          <w:lang w:val="en-AU"/>
        </w:rPr>
        <w:t xml:space="preserve"> A statement of fees will be sent to all students outlining course fees. A schedule of supports will be provided outlining all course fees and NDIS fees. </w:t>
      </w:r>
      <w:r w:rsidRPr="00D7345C">
        <w:rPr>
          <w:rFonts w:cs="Arial"/>
          <w:lang w:val="en-AU"/>
        </w:rPr>
        <w:t xml:space="preserve">Invoices will be </w:t>
      </w:r>
      <w:r w:rsidR="007C5522">
        <w:rPr>
          <w:rFonts w:cs="Arial"/>
          <w:lang w:val="en-AU"/>
        </w:rPr>
        <w:t>sent</w:t>
      </w:r>
      <w:r w:rsidRPr="00D7345C">
        <w:rPr>
          <w:rFonts w:cs="Arial"/>
          <w:lang w:val="en-AU"/>
        </w:rPr>
        <w:t xml:space="preserve"> by the Inclusion Melbourne Finance </w:t>
      </w:r>
      <w:r w:rsidR="0010768F" w:rsidRPr="00D7345C">
        <w:rPr>
          <w:rFonts w:cs="Arial"/>
          <w:lang w:val="en-AU"/>
        </w:rPr>
        <w:t>Department</w:t>
      </w:r>
      <w:r w:rsidRPr="00D7345C">
        <w:rPr>
          <w:rFonts w:cs="Arial"/>
          <w:lang w:val="en-AU"/>
        </w:rPr>
        <w:t xml:space="preserve"> and should be paid within one month of commencement of the program. The payment will be receipted.</w:t>
      </w:r>
      <w:r w:rsidR="007C5522">
        <w:rPr>
          <w:rFonts w:cs="Arial"/>
          <w:lang w:val="en-AU"/>
        </w:rPr>
        <w:t xml:space="preserve"> Students are not required to provide payment prior to commencement of a training program. </w:t>
      </w:r>
    </w:p>
    <w:p w14:paraId="0C52CE07" w14:textId="77777777" w:rsidR="00CC2A1D" w:rsidRPr="00D7345C" w:rsidRDefault="00CC2A1D" w:rsidP="00B005F4">
      <w:pPr>
        <w:autoSpaceDE w:val="0"/>
        <w:autoSpaceDN w:val="0"/>
        <w:adjustRightInd w:val="0"/>
        <w:jc w:val="both"/>
        <w:rPr>
          <w:rFonts w:cs="Arial"/>
          <w:lang w:val="en-AU"/>
        </w:rPr>
      </w:pPr>
    </w:p>
    <w:p w14:paraId="5FB69C63" w14:textId="77777777" w:rsidR="008F6AED" w:rsidRPr="00D7345C" w:rsidRDefault="00CC2A1D" w:rsidP="00AD060A">
      <w:pPr>
        <w:pStyle w:val="BodyText"/>
        <w:numPr>
          <w:ilvl w:val="0"/>
          <w:numId w:val="25"/>
        </w:numPr>
        <w:ind w:left="284" w:hanging="284"/>
        <w:jc w:val="both"/>
      </w:pPr>
      <w:r w:rsidRPr="00D7345C">
        <w:rPr>
          <w:rFonts w:cs="Arial"/>
          <w:b/>
          <w:bCs/>
          <w:lang w:val="en-AU"/>
        </w:rPr>
        <w:t>Student cancellation and withdrawal</w:t>
      </w:r>
    </w:p>
    <w:p w14:paraId="7282A759" w14:textId="611F9877" w:rsidR="006C3260" w:rsidRPr="00D7345C" w:rsidRDefault="006C3260" w:rsidP="006C3260">
      <w:pPr>
        <w:autoSpaceDE w:val="0"/>
        <w:autoSpaceDN w:val="0"/>
        <w:adjustRightInd w:val="0"/>
        <w:jc w:val="both"/>
        <w:rPr>
          <w:rFonts w:eastAsia="Times New Roman" w:cs="Arial"/>
          <w:lang w:val="en-AU"/>
        </w:rPr>
      </w:pPr>
      <w:r w:rsidRPr="00D7345C">
        <w:rPr>
          <w:rFonts w:eastAsia="Times New Roman" w:cs="Arial"/>
          <w:lang w:val="en-AU"/>
        </w:rPr>
        <w:t xml:space="preserve">Learners who cancel their enrolment must notify us in writing at the soonest opportunity using the </w:t>
      </w:r>
      <w:r w:rsidRPr="00D7345C">
        <w:rPr>
          <w:rFonts w:eastAsia="Times New Roman" w:cs="Arial"/>
          <w:i/>
          <w:iCs/>
          <w:lang w:val="en-AU"/>
        </w:rPr>
        <w:t>Withdrawal and Refund Form</w:t>
      </w:r>
      <w:r w:rsidRPr="00D7345C">
        <w:rPr>
          <w:rFonts w:eastAsia="Times New Roman" w:cs="Arial"/>
          <w:lang w:val="en-AU"/>
        </w:rPr>
        <w:t xml:space="preserve">. Refunds for course fees are issued at the discretion of the </w:t>
      </w:r>
      <w:r w:rsidR="007C5522">
        <w:rPr>
          <w:rFonts w:eastAsia="Times New Roman" w:cs="Arial"/>
          <w:lang w:val="en-AU"/>
        </w:rPr>
        <w:t>Head of Education and Training</w:t>
      </w:r>
      <w:r w:rsidRPr="00D7345C">
        <w:rPr>
          <w:rFonts w:eastAsia="Times New Roman" w:cs="Arial"/>
          <w:lang w:val="en-AU"/>
        </w:rPr>
        <w:t>.</w:t>
      </w:r>
    </w:p>
    <w:p w14:paraId="195AFD57" w14:textId="77777777" w:rsidR="006C3260" w:rsidRPr="00D7345C" w:rsidRDefault="006C3260" w:rsidP="006C3260">
      <w:pPr>
        <w:autoSpaceDE w:val="0"/>
        <w:autoSpaceDN w:val="0"/>
        <w:adjustRightInd w:val="0"/>
        <w:rPr>
          <w:rFonts w:eastAsia="Times New Roman" w:cs="Arial"/>
          <w:lang w:val="en-AU"/>
        </w:rPr>
      </w:pPr>
    </w:p>
    <w:p w14:paraId="52B5BDC2" w14:textId="499215B3" w:rsidR="006C3260" w:rsidRPr="00D7345C" w:rsidRDefault="006C3260" w:rsidP="006C3260">
      <w:pPr>
        <w:autoSpaceDE w:val="0"/>
        <w:autoSpaceDN w:val="0"/>
        <w:adjustRightInd w:val="0"/>
        <w:rPr>
          <w:rFonts w:eastAsia="Times New Roman" w:cs="Arial"/>
          <w:lang w:val="en-AU"/>
        </w:rPr>
      </w:pPr>
      <w:r w:rsidRPr="00D7345C">
        <w:rPr>
          <w:rFonts w:eastAsia="Times New Roman" w:cs="Arial"/>
          <w:lang w:val="en-AU"/>
        </w:rPr>
        <w:t>Inclusion Training is entitled to retain fees for any component of the course completed up until the point of cancellation notification by the learner.</w:t>
      </w:r>
      <w:r w:rsidR="007C5522">
        <w:rPr>
          <w:rFonts w:eastAsia="Times New Roman" w:cs="Arial"/>
          <w:lang w:val="en-AU"/>
        </w:rPr>
        <w:t xml:space="preserve"> If a student does not commence the course, but pays course fee, a full refund will be provided. </w:t>
      </w:r>
    </w:p>
    <w:p w14:paraId="213D9C70" w14:textId="77777777" w:rsidR="006C3260" w:rsidRPr="00D7345C" w:rsidRDefault="006C3260" w:rsidP="006C3260">
      <w:pPr>
        <w:autoSpaceDE w:val="0"/>
        <w:autoSpaceDN w:val="0"/>
        <w:adjustRightInd w:val="0"/>
        <w:rPr>
          <w:rFonts w:eastAsia="Times New Roman" w:cs="Arial"/>
          <w:lang w:val="en-AU"/>
        </w:rPr>
      </w:pPr>
    </w:p>
    <w:p w14:paraId="53A729D0" w14:textId="77777777" w:rsidR="006C3260" w:rsidRPr="00D7345C" w:rsidRDefault="006C3260" w:rsidP="006C3260">
      <w:pPr>
        <w:rPr>
          <w:rFonts w:eastAsia="Times New Roman" w:cs="Arial"/>
          <w:lang w:val="en-AU"/>
        </w:rPr>
      </w:pPr>
      <w:r w:rsidRPr="00D7345C">
        <w:rPr>
          <w:rFonts w:eastAsia="Times New Roman" w:cs="Arial"/>
          <w:lang w:val="en-AU"/>
        </w:rPr>
        <w:t>All requests for cancellations, refunds, changes or transfers must be requested in writing to learn@inclusiontraining.org.au</w:t>
      </w:r>
    </w:p>
    <w:p w14:paraId="1DE79629" w14:textId="77777777" w:rsidR="00CC2A1D" w:rsidRPr="00D7345C" w:rsidRDefault="00CC2A1D" w:rsidP="00B005F4">
      <w:pPr>
        <w:autoSpaceDE w:val="0"/>
        <w:autoSpaceDN w:val="0"/>
        <w:adjustRightInd w:val="0"/>
        <w:jc w:val="both"/>
        <w:rPr>
          <w:rFonts w:cs="Arial"/>
          <w:lang w:val="en-AU"/>
        </w:rPr>
      </w:pPr>
    </w:p>
    <w:p w14:paraId="58787038" w14:textId="77777777" w:rsidR="008F6AED" w:rsidRPr="00D7345C" w:rsidRDefault="00CC2A1D" w:rsidP="00AD060A">
      <w:pPr>
        <w:pStyle w:val="BodyText"/>
        <w:numPr>
          <w:ilvl w:val="0"/>
          <w:numId w:val="25"/>
        </w:numPr>
        <w:ind w:left="284" w:hanging="284"/>
        <w:jc w:val="both"/>
        <w:rPr>
          <w:b/>
        </w:rPr>
      </w:pPr>
      <w:r w:rsidRPr="00D7345C">
        <w:rPr>
          <w:rFonts w:cs="Arial"/>
          <w:b/>
          <w:bCs/>
          <w:lang w:val="en-AU"/>
        </w:rPr>
        <w:t>Refunds</w:t>
      </w:r>
    </w:p>
    <w:p w14:paraId="17754990" w14:textId="2510C6C9" w:rsidR="00CC2A1D" w:rsidRPr="00D7345C" w:rsidRDefault="006C3260" w:rsidP="00B005F4">
      <w:pPr>
        <w:autoSpaceDE w:val="0"/>
        <w:autoSpaceDN w:val="0"/>
        <w:adjustRightInd w:val="0"/>
        <w:jc w:val="both"/>
        <w:rPr>
          <w:rFonts w:cs="Arial"/>
          <w:color w:val="000000"/>
          <w:lang w:val="en-AU"/>
        </w:rPr>
      </w:pPr>
      <w:r w:rsidRPr="00D7345C">
        <w:rPr>
          <w:rFonts w:cs="Arial"/>
        </w:rPr>
        <w:t xml:space="preserve">If the learner wishes to withdraw from training after commencement of the course, they must advise the Manager and/or Trainer and Assessor.  Requests must be submitted formally, using the </w:t>
      </w:r>
      <w:r w:rsidRPr="00D7345C">
        <w:rPr>
          <w:rFonts w:cs="Arial"/>
          <w:i/>
          <w:iCs/>
        </w:rPr>
        <w:t>Withdrawal and Refund Form</w:t>
      </w:r>
      <w:r w:rsidRPr="00D7345C">
        <w:rPr>
          <w:rFonts w:cs="Arial"/>
        </w:rPr>
        <w:t xml:space="preserve">. </w:t>
      </w:r>
      <w:r w:rsidR="00CC2A1D" w:rsidRPr="00D7345C">
        <w:rPr>
          <w:rFonts w:cs="Arial"/>
          <w:color w:val="000000"/>
          <w:lang w:val="en-AU"/>
        </w:rPr>
        <w:t>Students who cancel their enrolment</w:t>
      </w:r>
      <w:r w:rsidRPr="00D7345C">
        <w:rPr>
          <w:rFonts w:cs="Arial"/>
          <w:color w:val="000000"/>
          <w:lang w:val="en-AU"/>
        </w:rPr>
        <w:t xml:space="preserve"> up to</w:t>
      </w:r>
      <w:r w:rsidR="00CC2A1D" w:rsidRPr="00D7345C">
        <w:rPr>
          <w:rFonts w:cs="Arial"/>
          <w:color w:val="000000"/>
          <w:lang w:val="en-AU"/>
        </w:rPr>
        <w:t xml:space="preserve"> four weeks after the commencement of</w:t>
      </w:r>
      <w:r w:rsidR="007C5522">
        <w:rPr>
          <w:rFonts w:cs="Arial"/>
          <w:color w:val="000000"/>
          <w:lang w:val="en-AU"/>
        </w:rPr>
        <w:t xml:space="preserve"> </w:t>
      </w:r>
      <w:r w:rsidR="00CC2A1D" w:rsidRPr="00D7345C">
        <w:rPr>
          <w:rFonts w:cs="Arial"/>
          <w:color w:val="000000"/>
          <w:lang w:val="en-AU"/>
        </w:rPr>
        <w:t xml:space="preserve">a training program will be entitled to a full refund of </w:t>
      </w:r>
      <w:r w:rsidRPr="00D7345C">
        <w:rPr>
          <w:rFonts w:cs="Arial"/>
          <w:color w:val="000000"/>
          <w:lang w:val="en-AU"/>
        </w:rPr>
        <w:t xml:space="preserve">course </w:t>
      </w:r>
      <w:r w:rsidR="00CC2A1D" w:rsidRPr="00D7345C">
        <w:rPr>
          <w:rFonts w:cs="Arial"/>
          <w:color w:val="000000"/>
          <w:lang w:val="en-AU"/>
        </w:rPr>
        <w:t>fees paid.</w:t>
      </w:r>
    </w:p>
    <w:p w14:paraId="0993D9AE" w14:textId="77777777" w:rsidR="00CC2A1D" w:rsidRPr="00D7345C" w:rsidRDefault="00CC2A1D" w:rsidP="00B005F4">
      <w:pPr>
        <w:autoSpaceDE w:val="0"/>
        <w:autoSpaceDN w:val="0"/>
        <w:adjustRightInd w:val="0"/>
        <w:jc w:val="both"/>
        <w:rPr>
          <w:rFonts w:cs="Arial"/>
          <w:color w:val="000000"/>
          <w:lang w:val="en-AU"/>
        </w:rPr>
      </w:pPr>
    </w:p>
    <w:p w14:paraId="08129CD0" w14:textId="7FD97359" w:rsidR="00CC2A1D" w:rsidRPr="00D7345C" w:rsidRDefault="00CC2A1D" w:rsidP="00B005F4">
      <w:pPr>
        <w:autoSpaceDE w:val="0"/>
        <w:autoSpaceDN w:val="0"/>
        <w:adjustRightInd w:val="0"/>
        <w:jc w:val="both"/>
        <w:rPr>
          <w:rFonts w:cs="Arial"/>
          <w:color w:val="000000"/>
          <w:lang w:val="en-AU"/>
        </w:rPr>
      </w:pPr>
      <w:r w:rsidRPr="00D7345C">
        <w:rPr>
          <w:rFonts w:cs="Arial"/>
          <w:color w:val="000000"/>
          <w:lang w:val="en-AU"/>
        </w:rPr>
        <w:t xml:space="preserve">If the student wishes to withdraw from training later than four weeks after commencement of the course, the student must advise the </w:t>
      </w:r>
      <w:r w:rsidR="007C5522">
        <w:rPr>
          <w:rFonts w:cs="Arial"/>
          <w:color w:val="000000"/>
          <w:lang w:val="en-AU"/>
        </w:rPr>
        <w:t>Head of Education and Training</w:t>
      </w:r>
      <w:r w:rsidR="006C3260" w:rsidRPr="00D7345C">
        <w:rPr>
          <w:rFonts w:cs="Arial"/>
          <w:color w:val="000000"/>
          <w:lang w:val="en-AU"/>
        </w:rPr>
        <w:t>, however course fees will not be refunded</w:t>
      </w:r>
      <w:r w:rsidRPr="00D7345C">
        <w:rPr>
          <w:rFonts w:cs="Arial"/>
          <w:color w:val="000000"/>
          <w:lang w:val="en-AU"/>
        </w:rPr>
        <w:t>.</w:t>
      </w:r>
    </w:p>
    <w:p w14:paraId="4D169EAB" w14:textId="77777777" w:rsidR="00CC2A1D" w:rsidRPr="00D7345C" w:rsidRDefault="00CC2A1D" w:rsidP="00B005F4">
      <w:pPr>
        <w:autoSpaceDE w:val="0"/>
        <w:autoSpaceDN w:val="0"/>
        <w:adjustRightInd w:val="0"/>
        <w:jc w:val="both"/>
        <w:rPr>
          <w:rFonts w:cs="Arial"/>
          <w:color w:val="000000"/>
          <w:lang w:val="en-AU"/>
        </w:rPr>
      </w:pPr>
    </w:p>
    <w:p w14:paraId="77D1EE6B" w14:textId="77777777" w:rsidR="00CC2A1D" w:rsidRPr="00D7345C" w:rsidRDefault="00CC2A1D" w:rsidP="00B005F4">
      <w:pPr>
        <w:autoSpaceDE w:val="0"/>
        <w:autoSpaceDN w:val="0"/>
        <w:adjustRightInd w:val="0"/>
        <w:jc w:val="both"/>
        <w:rPr>
          <w:rFonts w:cs="Arial"/>
          <w:color w:val="000000"/>
          <w:lang w:val="en-AU"/>
        </w:rPr>
      </w:pPr>
      <w:r w:rsidRPr="00D7345C">
        <w:rPr>
          <w:rFonts w:cs="Arial"/>
          <w:color w:val="000000"/>
          <w:lang w:val="en-AU"/>
        </w:rPr>
        <w:t>Requests for refunds will be processed and transacted at the end of the month in</w:t>
      </w:r>
    </w:p>
    <w:p w14:paraId="4BB47914" w14:textId="77777777" w:rsidR="00304F21" w:rsidRPr="00D7345C" w:rsidRDefault="00CC2A1D" w:rsidP="00B005F4">
      <w:pPr>
        <w:pStyle w:val="BodyText"/>
        <w:jc w:val="both"/>
        <w:rPr>
          <w:rFonts w:cs="Arial"/>
          <w:color w:val="000000"/>
          <w:lang w:val="en-AU"/>
        </w:rPr>
      </w:pPr>
      <w:r w:rsidRPr="00D7345C">
        <w:rPr>
          <w:rFonts w:cs="Arial"/>
          <w:color w:val="000000"/>
          <w:lang w:val="en-AU"/>
        </w:rPr>
        <w:t>which the cancellation notification was received.</w:t>
      </w:r>
    </w:p>
    <w:p w14:paraId="7833204E" w14:textId="5C6B42AD" w:rsidR="00CB27A6" w:rsidRPr="00D7345C" w:rsidRDefault="00D7345C" w:rsidP="00D7345C">
      <w:pPr>
        <w:rPr>
          <w:rFonts w:cs="Arial"/>
          <w:color w:val="000000"/>
          <w:lang w:val="en-AU"/>
        </w:rPr>
      </w:pPr>
      <w:r>
        <w:rPr>
          <w:rFonts w:cs="Arial"/>
          <w:color w:val="000000"/>
          <w:lang w:val="en-AU"/>
        </w:rPr>
        <w:br w:type="page"/>
      </w:r>
    </w:p>
    <w:p w14:paraId="408C2269" w14:textId="77777777" w:rsidR="00426218" w:rsidRPr="00D7345C" w:rsidRDefault="00CC2A1D" w:rsidP="00CB27A6">
      <w:pPr>
        <w:pStyle w:val="BodyText"/>
        <w:numPr>
          <w:ilvl w:val="0"/>
          <w:numId w:val="25"/>
        </w:numPr>
        <w:ind w:left="284" w:hanging="284"/>
        <w:jc w:val="both"/>
        <w:rPr>
          <w:b/>
        </w:rPr>
      </w:pPr>
      <w:r w:rsidRPr="00D7345C">
        <w:rPr>
          <w:rFonts w:cs="Arial"/>
          <w:b/>
          <w:bCs/>
          <w:lang w:val="en-AU"/>
        </w:rPr>
        <w:t>Financial Hardship</w:t>
      </w:r>
    </w:p>
    <w:p w14:paraId="195D7C73" w14:textId="64406B45" w:rsidR="00CC2A1D" w:rsidRPr="00D7345C" w:rsidRDefault="00CC2A1D" w:rsidP="00B005F4">
      <w:pPr>
        <w:autoSpaceDE w:val="0"/>
        <w:autoSpaceDN w:val="0"/>
        <w:adjustRightInd w:val="0"/>
        <w:jc w:val="both"/>
        <w:rPr>
          <w:rFonts w:cs="Arial"/>
          <w:lang w:val="en-AU"/>
        </w:rPr>
      </w:pPr>
      <w:r w:rsidRPr="00D7345C">
        <w:rPr>
          <w:rFonts w:cs="Arial"/>
          <w:lang w:val="en-AU"/>
        </w:rPr>
        <w:t xml:space="preserve">If a student is experiencing difficulty in paying Inclusion </w:t>
      </w:r>
      <w:r w:rsidR="00541784" w:rsidRPr="00D7345C">
        <w:rPr>
          <w:rFonts w:cs="Arial"/>
          <w:lang w:val="en-AU"/>
        </w:rPr>
        <w:t>Training</w:t>
      </w:r>
      <w:r w:rsidRPr="00D7345C">
        <w:rPr>
          <w:rFonts w:cs="Arial"/>
          <w:lang w:val="en-AU"/>
        </w:rPr>
        <w:t xml:space="preserve"> fees, they may contact the </w:t>
      </w:r>
      <w:r w:rsidR="007C5522">
        <w:rPr>
          <w:rFonts w:cs="Arial"/>
          <w:lang w:val="en-AU"/>
        </w:rPr>
        <w:t>Head of Education and Training</w:t>
      </w:r>
      <w:r w:rsidR="00541784" w:rsidRPr="00D7345C">
        <w:rPr>
          <w:rFonts w:cs="Arial"/>
          <w:lang w:val="en-AU"/>
        </w:rPr>
        <w:t>,</w:t>
      </w:r>
      <w:r w:rsidRPr="00D7345C">
        <w:rPr>
          <w:rFonts w:cs="Arial"/>
          <w:lang w:val="en-AU"/>
        </w:rPr>
        <w:t xml:space="preserve"> to directly discuss financial</w:t>
      </w:r>
      <w:r w:rsidR="00541784" w:rsidRPr="00D7345C">
        <w:rPr>
          <w:rFonts w:cs="Arial"/>
          <w:lang w:val="en-AU"/>
        </w:rPr>
        <w:t xml:space="preserve"> </w:t>
      </w:r>
      <w:r w:rsidRPr="00D7345C">
        <w:rPr>
          <w:rFonts w:cs="Arial"/>
          <w:lang w:val="en-AU"/>
        </w:rPr>
        <w:t>hardship arrangements such as exemption, reduction of fees, or payment in instalments.</w:t>
      </w:r>
    </w:p>
    <w:p w14:paraId="5DA42D45" w14:textId="02233CDB" w:rsidR="00CC2A1D" w:rsidRPr="00D7345C" w:rsidRDefault="00CC2A1D" w:rsidP="00B005F4">
      <w:pPr>
        <w:autoSpaceDE w:val="0"/>
        <w:autoSpaceDN w:val="0"/>
        <w:adjustRightInd w:val="0"/>
        <w:jc w:val="both"/>
        <w:rPr>
          <w:rFonts w:cs="Arial"/>
          <w:lang w:val="en-AU"/>
        </w:rPr>
      </w:pPr>
      <w:r w:rsidRPr="00D7345C">
        <w:rPr>
          <w:rFonts w:cs="Arial"/>
          <w:lang w:val="en-AU"/>
        </w:rPr>
        <w:t>If possible, students should ask at the time of enrolment and discuss this with the</w:t>
      </w:r>
      <w:r w:rsidR="00541784" w:rsidRPr="00D7345C">
        <w:rPr>
          <w:rFonts w:cs="Arial"/>
          <w:lang w:val="en-AU"/>
        </w:rPr>
        <w:t xml:space="preserve"> </w:t>
      </w:r>
      <w:r w:rsidR="007C5522">
        <w:rPr>
          <w:rFonts w:cs="Arial"/>
          <w:lang w:val="en-AU"/>
        </w:rPr>
        <w:t>Head of Education and Training</w:t>
      </w:r>
      <w:r w:rsidRPr="00D7345C">
        <w:rPr>
          <w:rFonts w:cs="Arial"/>
          <w:lang w:val="en-AU"/>
        </w:rPr>
        <w:t>. A Financial Hardship Form will then be completed should a formal</w:t>
      </w:r>
    </w:p>
    <w:p w14:paraId="2486CA0C" w14:textId="542B0781" w:rsidR="00541784" w:rsidRPr="00D7345C" w:rsidRDefault="00CC2A1D" w:rsidP="00B005F4">
      <w:pPr>
        <w:jc w:val="both"/>
        <w:rPr>
          <w:rFonts w:cs="Arial"/>
          <w:lang w:val="en-AU"/>
        </w:rPr>
      </w:pPr>
      <w:r w:rsidRPr="00D7345C">
        <w:rPr>
          <w:rFonts w:cs="Arial"/>
          <w:lang w:val="en-AU"/>
        </w:rPr>
        <w:t>arrangement be developed for that student.</w:t>
      </w:r>
      <w:r w:rsidR="00541784" w:rsidRPr="00D7345C">
        <w:rPr>
          <w:rFonts w:cs="Arial"/>
        </w:rPr>
        <w:t xml:space="preserve"> </w:t>
      </w:r>
    </w:p>
    <w:p w14:paraId="3371A8B8" w14:textId="77777777" w:rsidR="00E80147" w:rsidRPr="00D7345C" w:rsidRDefault="00E80147" w:rsidP="00B005F4">
      <w:pPr>
        <w:jc w:val="both"/>
        <w:rPr>
          <w:b/>
        </w:rPr>
      </w:pPr>
    </w:p>
    <w:p w14:paraId="2A626EB1" w14:textId="77777777" w:rsidR="00CC2A1D" w:rsidRPr="00D7345C" w:rsidRDefault="00CC2A1D" w:rsidP="00CB27A6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cs="Arial"/>
          <w:b/>
          <w:bCs/>
          <w:lang w:val="en-AU"/>
        </w:rPr>
      </w:pPr>
      <w:r w:rsidRPr="00D7345C">
        <w:rPr>
          <w:rFonts w:cs="Arial"/>
          <w:b/>
          <w:bCs/>
          <w:lang w:val="en-AU"/>
        </w:rPr>
        <w:t>Course Cancellation (Initiated by Inclusion Melbourne)</w:t>
      </w:r>
    </w:p>
    <w:p w14:paraId="5546EF38" w14:textId="77777777" w:rsidR="00541784" w:rsidRPr="00D7345C" w:rsidRDefault="00541784" w:rsidP="00541784">
      <w:pPr>
        <w:rPr>
          <w:rFonts w:eastAsia="Times New Roman" w:cs="Arial"/>
          <w:lang w:val="en-AU"/>
        </w:rPr>
      </w:pPr>
      <w:r w:rsidRPr="00D7345C">
        <w:rPr>
          <w:rFonts w:eastAsia="Times New Roman" w:cs="Arial"/>
          <w:lang w:val="en-AU"/>
        </w:rPr>
        <w:t>Where Inclusion Training is forced to cancel a course, learners will be entitled to transfer to another Inclusion Training course if available or receive a full refund of course fees.</w:t>
      </w:r>
    </w:p>
    <w:p w14:paraId="314877C6" w14:textId="77777777" w:rsidR="00541784" w:rsidRPr="00D7345C" w:rsidRDefault="00541784" w:rsidP="00B005F4">
      <w:pPr>
        <w:jc w:val="both"/>
        <w:rPr>
          <w:rFonts w:cs="Arial"/>
          <w:lang w:val="en-AU"/>
        </w:rPr>
      </w:pPr>
    </w:p>
    <w:p w14:paraId="1AC4AD0D" w14:textId="77777777" w:rsidR="00CC2A1D" w:rsidRPr="00D7345C" w:rsidRDefault="00CC2A1D" w:rsidP="00CB27A6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cs="Arial"/>
          <w:b/>
          <w:bCs/>
          <w:lang w:val="en-AU"/>
        </w:rPr>
      </w:pPr>
      <w:r w:rsidRPr="00D7345C">
        <w:rPr>
          <w:rFonts w:cs="Arial"/>
          <w:b/>
          <w:bCs/>
          <w:lang w:val="en-AU"/>
        </w:rPr>
        <w:t>Fees paid in advance and financial management</w:t>
      </w:r>
    </w:p>
    <w:p w14:paraId="062F9694" w14:textId="77777777" w:rsidR="00CC2A1D" w:rsidRPr="00D7345C" w:rsidRDefault="00CC2A1D" w:rsidP="00B005F4">
      <w:pPr>
        <w:autoSpaceDE w:val="0"/>
        <w:autoSpaceDN w:val="0"/>
        <w:adjustRightInd w:val="0"/>
        <w:jc w:val="both"/>
        <w:rPr>
          <w:rFonts w:cs="Arial"/>
          <w:lang w:val="en-AU"/>
        </w:rPr>
      </w:pPr>
      <w:r w:rsidRPr="00D7345C">
        <w:rPr>
          <w:rFonts w:cs="Arial"/>
          <w:lang w:val="en-AU"/>
        </w:rPr>
        <w:t>Inclusion Melbourne follows sound financial ma</w:t>
      </w:r>
      <w:r w:rsidR="00D41498" w:rsidRPr="00D7345C">
        <w:rPr>
          <w:rFonts w:cs="Arial"/>
          <w:lang w:val="en-AU"/>
        </w:rPr>
        <w:t xml:space="preserve">nagement practices to safeguard </w:t>
      </w:r>
      <w:r w:rsidRPr="00D7345C">
        <w:rPr>
          <w:rFonts w:cs="Arial"/>
          <w:lang w:val="en-AU"/>
        </w:rPr>
        <w:t>fees paid in advance. These include:</w:t>
      </w:r>
    </w:p>
    <w:p w14:paraId="6AB070D9" w14:textId="77777777" w:rsidR="00D41498" w:rsidRPr="00D7345C" w:rsidRDefault="00D41498" w:rsidP="00B005F4">
      <w:pPr>
        <w:autoSpaceDE w:val="0"/>
        <w:autoSpaceDN w:val="0"/>
        <w:adjustRightInd w:val="0"/>
        <w:jc w:val="both"/>
        <w:rPr>
          <w:rFonts w:cs="Arial"/>
          <w:lang w:val="en-AU"/>
        </w:rPr>
      </w:pPr>
    </w:p>
    <w:p w14:paraId="0DE620CF" w14:textId="649E8443" w:rsidR="00CC2A1D" w:rsidRPr="00D7345C" w:rsidRDefault="00CC2A1D" w:rsidP="00CB27A6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lang w:val="en-AU"/>
        </w:rPr>
      </w:pPr>
      <w:r w:rsidRPr="00D7345C">
        <w:rPr>
          <w:rFonts w:cs="Arial"/>
          <w:lang w:val="en-AU"/>
        </w:rPr>
        <w:t xml:space="preserve">Maintenance of </w:t>
      </w:r>
      <w:r w:rsidR="007C5522">
        <w:rPr>
          <w:rFonts w:cs="Arial"/>
          <w:lang w:val="en-AU"/>
        </w:rPr>
        <w:t>all</w:t>
      </w:r>
      <w:r w:rsidRPr="00D7345C">
        <w:rPr>
          <w:rFonts w:cs="Arial"/>
          <w:lang w:val="en-AU"/>
        </w:rPr>
        <w:t xml:space="preserve"> fees received</w:t>
      </w:r>
    </w:p>
    <w:p w14:paraId="50854EDC" w14:textId="77777777" w:rsidR="00CC2A1D" w:rsidRPr="00D7345C" w:rsidRDefault="00CC2A1D" w:rsidP="00CB27A6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lang w:val="en-AU"/>
        </w:rPr>
      </w:pPr>
      <w:r w:rsidRPr="00D7345C">
        <w:rPr>
          <w:rFonts w:cs="Arial"/>
          <w:lang w:val="en-AU"/>
        </w:rPr>
        <w:t>Accurate and up-to-date financial records</w:t>
      </w:r>
    </w:p>
    <w:p w14:paraId="252F2777" w14:textId="77777777" w:rsidR="00CC2A1D" w:rsidRPr="00D7345C" w:rsidRDefault="00CC2A1D" w:rsidP="00CB27A6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lang w:val="en-AU"/>
        </w:rPr>
      </w:pPr>
      <w:r w:rsidRPr="00D7345C">
        <w:rPr>
          <w:rFonts w:cs="Arial"/>
          <w:lang w:val="en-AU"/>
        </w:rPr>
        <w:t>Regular monitoring of its financial positions</w:t>
      </w:r>
    </w:p>
    <w:p w14:paraId="1D09B608" w14:textId="77777777" w:rsidR="00D41498" w:rsidRPr="00D7345C" w:rsidRDefault="00D41498" w:rsidP="00B005F4">
      <w:pPr>
        <w:autoSpaceDE w:val="0"/>
        <w:autoSpaceDN w:val="0"/>
        <w:adjustRightInd w:val="0"/>
        <w:jc w:val="both"/>
        <w:rPr>
          <w:rFonts w:cs="Arial"/>
          <w:lang w:val="en-AU"/>
        </w:rPr>
      </w:pPr>
    </w:p>
    <w:p w14:paraId="1899146B" w14:textId="5EC6D01E" w:rsidR="00CC2A1D" w:rsidRPr="00D7345C" w:rsidRDefault="00CC2A1D" w:rsidP="00B005F4">
      <w:pPr>
        <w:autoSpaceDE w:val="0"/>
        <w:autoSpaceDN w:val="0"/>
        <w:adjustRightInd w:val="0"/>
        <w:jc w:val="both"/>
        <w:rPr>
          <w:rFonts w:cs="Arial"/>
          <w:lang w:val="en-AU"/>
        </w:rPr>
      </w:pPr>
      <w:r w:rsidRPr="00D7345C">
        <w:rPr>
          <w:rFonts w:cs="Arial"/>
          <w:lang w:val="en-AU"/>
        </w:rPr>
        <w:t>The organisation employs financial management strateg</w:t>
      </w:r>
      <w:r w:rsidR="00D41498" w:rsidRPr="00D7345C">
        <w:rPr>
          <w:rFonts w:cs="Arial"/>
          <w:lang w:val="en-AU"/>
        </w:rPr>
        <w:t xml:space="preserve">ies to ensure it has sufficient </w:t>
      </w:r>
      <w:r w:rsidRPr="00D7345C">
        <w:rPr>
          <w:rFonts w:cs="Arial"/>
          <w:lang w:val="en-AU"/>
        </w:rPr>
        <w:t>funds to fulfil its training and assessment commitments. All financial transactions are</w:t>
      </w:r>
      <w:r w:rsidR="00D41498" w:rsidRPr="00D7345C">
        <w:rPr>
          <w:rFonts w:cs="Arial"/>
          <w:lang w:val="en-AU"/>
        </w:rPr>
        <w:t xml:space="preserve"> </w:t>
      </w:r>
      <w:r w:rsidRPr="00D7345C">
        <w:rPr>
          <w:rFonts w:cs="Arial"/>
          <w:lang w:val="en-AU"/>
        </w:rPr>
        <w:t xml:space="preserve">managed by the </w:t>
      </w:r>
      <w:r w:rsidR="00541784" w:rsidRPr="00D7345C">
        <w:rPr>
          <w:rFonts w:cs="Arial"/>
          <w:lang w:val="en-AU"/>
        </w:rPr>
        <w:t xml:space="preserve">Inclusion Melbourne </w:t>
      </w:r>
      <w:r w:rsidR="007C5522">
        <w:rPr>
          <w:rFonts w:cs="Arial"/>
          <w:lang w:val="en-AU"/>
        </w:rPr>
        <w:t>Head of Finance</w:t>
      </w:r>
      <w:r w:rsidRPr="00D7345C">
        <w:rPr>
          <w:rFonts w:cs="Arial"/>
          <w:lang w:val="en-AU"/>
        </w:rPr>
        <w:t>.</w:t>
      </w:r>
    </w:p>
    <w:p w14:paraId="43B11999" w14:textId="77777777" w:rsidR="00D41498" w:rsidRPr="00D7345C" w:rsidRDefault="00D41498" w:rsidP="00B005F4">
      <w:pPr>
        <w:autoSpaceDE w:val="0"/>
        <w:autoSpaceDN w:val="0"/>
        <w:adjustRightInd w:val="0"/>
        <w:jc w:val="both"/>
        <w:rPr>
          <w:rFonts w:cs="Arial"/>
          <w:lang w:val="en-AU"/>
        </w:rPr>
      </w:pPr>
    </w:p>
    <w:p w14:paraId="5327ECE8" w14:textId="669707B2" w:rsidR="00CC2A1D" w:rsidRPr="00D7345C" w:rsidRDefault="00CC2A1D" w:rsidP="007C5522">
      <w:pPr>
        <w:autoSpaceDE w:val="0"/>
        <w:autoSpaceDN w:val="0"/>
        <w:adjustRightInd w:val="0"/>
        <w:rPr>
          <w:rFonts w:cs="Arial"/>
          <w:lang w:val="en-AU"/>
        </w:rPr>
      </w:pPr>
      <w:r w:rsidRPr="00D7345C">
        <w:rPr>
          <w:rFonts w:cs="Arial"/>
          <w:lang w:val="en-AU"/>
        </w:rPr>
        <w:t>Inclusion Melbourne is a Charitable Incorporated</w:t>
      </w:r>
      <w:r w:rsidR="00D41498" w:rsidRPr="00D7345C">
        <w:rPr>
          <w:rFonts w:cs="Arial"/>
          <w:lang w:val="en-AU"/>
        </w:rPr>
        <w:t xml:space="preserve"> </w:t>
      </w:r>
      <w:r w:rsidRPr="00D7345C">
        <w:rPr>
          <w:rFonts w:cs="Arial"/>
          <w:lang w:val="en-AU"/>
        </w:rPr>
        <w:t>Association. As such, it obtains an independent</w:t>
      </w:r>
      <w:r w:rsidR="007C5522">
        <w:rPr>
          <w:rFonts w:cs="Arial"/>
          <w:lang w:val="en-AU"/>
        </w:rPr>
        <w:t xml:space="preserve"> </w:t>
      </w:r>
      <w:r w:rsidRPr="00D7345C">
        <w:rPr>
          <w:rFonts w:cs="Arial"/>
          <w:lang w:val="en-AU"/>
        </w:rPr>
        <w:t>Financial Audit at the co</w:t>
      </w:r>
      <w:r w:rsidR="00D41498" w:rsidRPr="00D7345C">
        <w:rPr>
          <w:rFonts w:cs="Arial"/>
          <w:lang w:val="en-AU"/>
        </w:rPr>
        <w:t xml:space="preserve">nclusion of each financial year </w:t>
      </w:r>
      <w:r w:rsidRPr="00D7345C">
        <w:rPr>
          <w:rFonts w:cs="Arial"/>
          <w:lang w:val="en-AU"/>
        </w:rPr>
        <w:t>and submits an annual return to Consumer Affairs</w:t>
      </w:r>
      <w:r w:rsidR="00D41498" w:rsidRPr="00D7345C">
        <w:rPr>
          <w:rFonts w:cs="Arial"/>
          <w:lang w:val="en-AU"/>
        </w:rPr>
        <w:t xml:space="preserve"> </w:t>
      </w:r>
      <w:r w:rsidRPr="00D7345C">
        <w:rPr>
          <w:rFonts w:cs="Arial"/>
          <w:lang w:val="en-AU"/>
        </w:rPr>
        <w:t>Victoria. Inclusion Melbourne complies with the</w:t>
      </w:r>
      <w:r w:rsidR="00D41498" w:rsidRPr="00D7345C">
        <w:rPr>
          <w:rFonts w:cs="Arial"/>
          <w:lang w:val="en-AU"/>
        </w:rPr>
        <w:t xml:space="preserve"> </w:t>
      </w:r>
      <w:r w:rsidRPr="00D7345C">
        <w:rPr>
          <w:rFonts w:cs="Arial"/>
          <w:lang w:val="en-AU"/>
        </w:rPr>
        <w:t>AQTF/SNR Information Privacy Act 2000 and Electronic</w:t>
      </w:r>
      <w:r w:rsidR="00D41498" w:rsidRPr="00D7345C">
        <w:rPr>
          <w:rFonts w:cs="Arial"/>
          <w:lang w:val="en-AU"/>
        </w:rPr>
        <w:t xml:space="preserve"> </w:t>
      </w:r>
      <w:r w:rsidRPr="00D7345C">
        <w:rPr>
          <w:rFonts w:cs="Arial"/>
          <w:lang w:val="en-AU"/>
        </w:rPr>
        <w:t>Transactions (Vic) Act 2000. All financial records remain</w:t>
      </w:r>
      <w:r w:rsidR="00D41498" w:rsidRPr="00D7345C">
        <w:rPr>
          <w:rFonts w:cs="Arial"/>
          <w:lang w:val="en-AU"/>
        </w:rPr>
        <w:t xml:space="preserve"> </w:t>
      </w:r>
      <w:r w:rsidRPr="00D7345C">
        <w:rPr>
          <w:rFonts w:cs="Arial"/>
          <w:lang w:val="en-AU"/>
        </w:rPr>
        <w:t>available for external scrutiny upon direct request to the</w:t>
      </w:r>
      <w:r w:rsidR="00D41498" w:rsidRPr="00D7345C">
        <w:rPr>
          <w:rFonts w:cs="Arial"/>
          <w:lang w:val="en-AU"/>
        </w:rPr>
        <w:t xml:space="preserve"> </w:t>
      </w:r>
      <w:r w:rsidR="007C5522">
        <w:rPr>
          <w:rFonts w:cs="Arial"/>
          <w:lang w:val="en-AU"/>
        </w:rPr>
        <w:t>Head of Education and Training</w:t>
      </w:r>
      <w:r w:rsidRPr="00D7345C">
        <w:rPr>
          <w:rFonts w:cs="Arial"/>
          <w:lang w:val="en-AU"/>
        </w:rPr>
        <w:t>.</w:t>
      </w:r>
    </w:p>
    <w:p w14:paraId="3DB859D2" w14:textId="77777777" w:rsidR="00CC2A1D" w:rsidRPr="00D7345C" w:rsidRDefault="00CC2A1D" w:rsidP="00B005F4">
      <w:pPr>
        <w:jc w:val="both"/>
        <w:rPr>
          <w:b/>
        </w:rPr>
      </w:pPr>
    </w:p>
    <w:p w14:paraId="645AA973" w14:textId="77777777" w:rsidR="00581EE9" w:rsidRPr="00D7345C" w:rsidRDefault="001B2378" w:rsidP="00B005F4">
      <w:pPr>
        <w:jc w:val="both"/>
        <w:rPr>
          <w:b/>
        </w:rPr>
      </w:pPr>
      <w:r w:rsidRPr="00D7345C">
        <w:rPr>
          <w:b/>
        </w:rPr>
        <w:t xml:space="preserve">DOCUMENTATION </w:t>
      </w:r>
    </w:p>
    <w:tbl>
      <w:tblPr>
        <w:tblW w:w="9360" w:type="dxa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00" w:firstRow="0" w:lastRow="0" w:firstColumn="0" w:lastColumn="0" w:noHBand="0" w:noVBand="0"/>
      </w:tblPr>
      <w:tblGrid>
        <w:gridCol w:w="3960"/>
        <w:gridCol w:w="5400"/>
      </w:tblGrid>
      <w:tr w:rsidR="00F243C6" w:rsidRPr="00D7345C" w14:paraId="3F8AF565" w14:textId="77777777" w:rsidTr="0072281C">
        <w:trPr>
          <w:trHeight w:val="187"/>
        </w:trPr>
        <w:tc>
          <w:tcPr>
            <w:tcW w:w="9360" w:type="dxa"/>
            <w:gridSpan w:val="2"/>
            <w:shd w:val="clear" w:color="auto" w:fill="E6E6E6"/>
          </w:tcPr>
          <w:p w14:paraId="05238AA8" w14:textId="77777777" w:rsidR="00F058C2" w:rsidRPr="00D7345C" w:rsidRDefault="00A7312D" w:rsidP="00B005F4">
            <w:pPr>
              <w:jc w:val="both"/>
              <w:rPr>
                <w:b/>
              </w:rPr>
            </w:pPr>
            <w:r w:rsidRPr="00D7345C">
              <w:rPr>
                <w:b/>
              </w:rPr>
              <w:t>D</w:t>
            </w:r>
            <w:r w:rsidR="00766405" w:rsidRPr="00D7345C">
              <w:rPr>
                <w:b/>
              </w:rPr>
              <w:t>ocuments</w:t>
            </w:r>
            <w:r w:rsidRPr="00D7345C">
              <w:rPr>
                <w:b/>
              </w:rPr>
              <w:t xml:space="preserve"> related to this policy</w:t>
            </w:r>
          </w:p>
        </w:tc>
      </w:tr>
      <w:tr w:rsidR="00F243C6" w:rsidRPr="00D7345C" w14:paraId="15D504A8" w14:textId="77777777" w:rsidTr="0072281C">
        <w:trPr>
          <w:trHeight w:val="347"/>
        </w:trPr>
        <w:tc>
          <w:tcPr>
            <w:tcW w:w="3960" w:type="dxa"/>
          </w:tcPr>
          <w:p w14:paraId="50F4FD88" w14:textId="77777777" w:rsidR="00766405" w:rsidRPr="00D7345C" w:rsidRDefault="00766405" w:rsidP="00B005F4">
            <w:pPr>
              <w:jc w:val="both"/>
            </w:pPr>
            <w:r w:rsidRPr="00D7345C">
              <w:t>Related policies</w:t>
            </w:r>
          </w:p>
        </w:tc>
        <w:tc>
          <w:tcPr>
            <w:tcW w:w="5400" w:type="dxa"/>
          </w:tcPr>
          <w:p w14:paraId="61AF1C14" w14:textId="77777777" w:rsidR="00766405" w:rsidRPr="00D7345C" w:rsidRDefault="00304F21" w:rsidP="00CB27A6">
            <w:pPr>
              <w:pStyle w:val="ListParagraph"/>
              <w:numPr>
                <w:ilvl w:val="0"/>
                <w:numId w:val="37"/>
              </w:numPr>
              <w:ind w:left="327" w:hanging="284"/>
              <w:jc w:val="both"/>
            </w:pPr>
            <w:r w:rsidRPr="00D7345C">
              <w:t xml:space="preserve">RTO Administration </w:t>
            </w:r>
          </w:p>
        </w:tc>
      </w:tr>
      <w:tr w:rsidR="00F243C6" w:rsidRPr="00D7345C" w14:paraId="39664AAD" w14:textId="77777777" w:rsidTr="0072281C">
        <w:trPr>
          <w:trHeight w:val="347"/>
        </w:trPr>
        <w:tc>
          <w:tcPr>
            <w:tcW w:w="3960" w:type="dxa"/>
          </w:tcPr>
          <w:p w14:paraId="28206F42" w14:textId="19E9C7E2" w:rsidR="00766405" w:rsidRPr="00D7345C" w:rsidRDefault="00766405" w:rsidP="00B005F4">
            <w:r w:rsidRPr="00D7345C">
              <w:t>Forms</w:t>
            </w:r>
            <w:r w:rsidR="005A5E0B" w:rsidRPr="00D7345C">
              <w:t>, record keeping</w:t>
            </w:r>
            <w:r w:rsidRPr="00D7345C">
              <w:t xml:space="preserve"> or </w:t>
            </w:r>
            <w:r w:rsidR="003F2DE2" w:rsidRPr="00D7345C">
              <w:t>other organisational documents</w:t>
            </w:r>
          </w:p>
        </w:tc>
        <w:tc>
          <w:tcPr>
            <w:tcW w:w="5400" w:type="dxa"/>
          </w:tcPr>
          <w:p w14:paraId="7F5902BA" w14:textId="49BB08F3" w:rsidR="00766405" w:rsidRPr="00D7345C" w:rsidRDefault="00304F21" w:rsidP="00CB27A6">
            <w:pPr>
              <w:pStyle w:val="ListParagraph"/>
              <w:numPr>
                <w:ilvl w:val="0"/>
                <w:numId w:val="36"/>
              </w:numPr>
              <w:ind w:left="327" w:hanging="284"/>
              <w:jc w:val="both"/>
            </w:pPr>
            <w:r w:rsidRPr="00D7345C">
              <w:t>Enrolment Form and Student Agreement</w:t>
            </w:r>
            <w:r w:rsidR="00CB27A6" w:rsidRPr="00D7345C">
              <w:t xml:space="preserve"> form</w:t>
            </w:r>
          </w:p>
          <w:p w14:paraId="3E03DEBC" w14:textId="77777777" w:rsidR="00304F21" w:rsidRPr="00D7345C" w:rsidRDefault="00CB27A6" w:rsidP="00CB27A6">
            <w:pPr>
              <w:pStyle w:val="ListParagraph"/>
              <w:numPr>
                <w:ilvl w:val="0"/>
                <w:numId w:val="36"/>
              </w:numPr>
              <w:ind w:left="327" w:hanging="284"/>
              <w:jc w:val="both"/>
            </w:pPr>
            <w:r w:rsidRPr="00D7345C">
              <w:t>Enrolment Process Flowchart</w:t>
            </w:r>
          </w:p>
          <w:p w14:paraId="14CA8BEA" w14:textId="22144800" w:rsidR="00610040" w:rsidRPr="00D7345C" w:rsidRDefault="00610040" w:rsidP="00CB27A6">
            <w:pPr>
              <w:pStyle w:val="ListParagraph"/>
              <w:numPr>
                <w:ilvl w:val="0"/>
                <w:numId w:val="36"/>
              </w:numPr>
              <w:ind w:left="327" w:hanging="284"/>
              <w:jc w:val="both"/>
            </w:pPr>
            <w:r w:rsidRPr="00D7345C">
              <w:t>Financial Hardship Form</w:t>
            </w:r>
          </w:p>
        </w:tc>
      </w:tr>
    </w:tbl>
    <w:p w14:paraId="244BB14E" w14:textId="77777777" w:rsidR="00F532E2" w:rsidRPr="00D7345C" w:rsidRDefault="00F532E2" w:rsidP="00B005F4">
      <w:pPr>
        <w:jc w:val="both"/>
      </w:pPr>
    </w:p>
    <w:p w14:paraId="06DDCABE" w14:textId="77777777" w:rsidR="00E534EF" w:rsidRPr="00D7345C" w:rsidRDefault="00E534EF" w:rsidP="00B005F4">
      <w:pPr>
        <w:jc w:val="both"/>
      </w:pPr>
    </w:p>
    <w:p w14:paraId="7F52C5CF" w14:textId="77777777" w:rsidR="00F10061" w:rsidRPr="00D7345C" w:rsidRDefault="00F10061" w:rsidP="00B005F4">
      <w:pPr>
        <w:jc w:val="both"/>
      </w:pPr>
    </w:p>
    <w:sectPr w:rsidR="00F10061" w:rsidRPr="00D7345C" w:rsidSect="00474782">
      <w:headerReference w:type="default" r:id="rId11"/>
      <w:footerReference w:type="default" r:id="rId12"/>
      <w:pgSz w:w="12240" w:h="15840"/>
      <w:pgMar w:top="144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32717" w14:textId="77777777" w:rsidR="00CB7F20" w:rsidRDefault="00CB7F20" w:rsidP="00B55493">
      <w:r>
        <w:separator/>
      </w:r>
    </w:p>
  </w:endnote>
  <w:endnote w:type="continuationSeparator" w:id="0">
    <w:p w14:paraId="0F8D8E26" w14:textId="77777777" w:rsidR="00CB7F20" w:rsidRDefault="00CB7F20" w:rsidP="00B5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venir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248274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DF83462" w14:textId="7697C5D1" w:rsidR="00181F93" w:rsidRDefault="00181F9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C5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45FE84AB" w14:textId="77777777" w:rsidR="00181F93" w:rsidRDefault="00181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B92F5" w14:textId="77777777" w:rsidR="00CB7F20" w:rsidRDefault="00CB7F20" w:rsidP="00B55493">
      <w:r>
        <w:separator/>
      </w:r>
    </w:p>
  </w:footnote>
  <w:footnote w:type="continuationSeparator" w:id="0">
    <w:p w14:paraId="6B1C87A5" w14:textId="77777777" w:rsidR="00CB7F20" w:rsidRDefault="00CB7F20" w:rsidP="00B5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65093" w14:textId="77777777" w:rsidR="00181F93" w:rsidRDefault="00181F93" w:rsidP="00B55493">
    <w:pPr>
      <w:pStyle w:val="Header"/>
    </w:pPr>
  </w:p>
  <w:p w14:paraId="054DF837" w14:textId="144B092C" w:rsidR="00181F93" w:rsidRPr="008E1D7F" w:rsidRDefault="00903C57" w:rsidP="00B55493">
    <w:pPr>
      <w:pStyle w:val="Header"/>
    </w:pPr>
    <w:r>
      <w:rPr>
        <w:noProof/>
        <w:lang w:val="en-AU"/>
      </w:rPr>
      <w:drawing>
        <wp:inline distT="0" distB="0" distL="0" distR="0" wp14:anchorId="21810274" wp14:editId="411A000A">
          <wp:extent cx="2724150" cy="476250"/>
          <wp:effectExtent l="0" t="0" r="0" b="0"/>
          <wp:docPr id="1" name="Picture 1" descr="cid:image001.jpg@01D0C939.98C720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jpg@01D0C939.98C72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TOID 6406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B622000"/>
    <w:lvl w:ilvl="0">
      <w:start w:val="1"/>
      <w:numFmt w:val="decimal"/>
      <w:pStyle w:val="ListNumber"/>
      <w:lvlText w:val="%1."/>
      <w:lvlJc w:val="left"/>
      <w:pPr>
        <w:ind w:left="786" w:hanging="360"/>
      </w:pPr>
      <w:rPr>
        <w:rFonts w:hint="eastAsia"/>
      </w:rPr>
    </w:lvl>
  </w:abstractNum>
  <w:abstractNum w:abstractNumId="1" w15:restartNumberingAfterBreak="0">
    <w:nsid w:val="0A2B4E34"/>
    <w:multiLevelType w:val="hybridMultilevel"/>
    <w:tmpl w:val="BAE6A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0981"/>
    <w:multiLevelType w:val="hybridMultilevel"/>
    <w:tmpl w:val="7DC09268"/>
    <w:lvl w:ilvl="0" w:tplc="B030CAD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37E6FF6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0DF9"/>
    <w:multiLevelType w:val="hybridMultilevel"/>
    <w:tmpl w:val="768C4850"/>
    <w:lvl w:ilvl="0" w:tplc="095EA85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4703"/>
    <w:multiLevelType w:val="hybridMultilevel"/>
    <w:tmpl w:val="03F63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71A7"/>
    <w:multiLevelType w:val="hybridMultilevel"/>
    <w:tmpl w:val="E6723C4E"/>
    <w:lvl w:ilvl="0" w:tplc="09822A02">
      <w:numFmt w:val="bullet"/>
      <w:lvlText w:val="•"/>
      <w:lvlJc w:val="left"/>
      <w:pPr>
        <w:ind w:left="720" w:hanging="360"/>
      </w:pPr>
      <w:rPr>
        <w:rFonts w:ascii="Museo Sans 300" w:eastAsia="Calibri" w:hAnsi="Museo Sans 300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D558A"/>
    <w:multiLevelType w:val="hybridMultilevel"/>
    <w:tmpl w:val="B7166E32"/>
    <w:lvl w:ilvl="0" w:tplc="D39C98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573BC"/>
    <w:multiLevelType w:val="hybridMultilevel"/>
    <w:tmpl w:val="BD969732"/>
    <w:lvl w:ilvl="0" w:tplc="D084DE5C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7F7DAB"/>
    <w:multiLevelType w:val="hybridMultilevel"/>
    <w:tmpl w:val="9A4CBE6A"/>
    <w:lvl w:ilvl="0" w:tplc="1E920E7E">
      <w:start w:val="1"/>
      <w:numFmt w:val="decimal"/>
      <w:lvlText w:val="%1"/>
      <w:lvlJc w:val="left"/>
      <w:pPr>
        <w:ind w:left="508" w:hanging="312"/>
      </w:pPr>
      <w:rPr>
        <w:rFonts w:ascii="Tahoma" w:eastAsia="Tahoma" w:hAnsi="Tahoma" w:hint="default"/>
        <w:sz w:val="24"/>
        <w:szCs w:val="24"/>
      </w:rPr>
    </w:lvl>
    <w:lvl w:ilvl="1" w:tplc="DF58F1C4">
      <w:start w:val="1"/>
      <w:numFmt w:val="decimal"/>
      <w:lvlText w:val="%2."/>
      <w:lvlJc w:val="left"/>
      <w:pPr>
        <w:ind w:left="1317" w:hanging="324"/>
      </w:pPr>
      <w:rPr>
        <w:rFonts w:ascii="Museo Sans 300" w:hAnsi="Museo Sans 300" w:hint="default"/>
        <w:spacing w:val="-1"/>
        <w:sz w:val="22"/>
        <w:szCs w:val="22"/>
      </w:rPr>
    </w:lvl>
    <w:lvl w:ilvl="2" w:tplc="FB081D00">
      <w:start w:val="1"/>
      <w:numFmt w:val="bullet"/>
      <w:lvlText w:val="•"/>
      <w:lvlJc w:val="left"/>
      <w:pPr>
        <w:ind w:left="1128" w:hanging="324"/>
      </w:pPr>
      <w:rPr>
        <w:rFonts w:hint="default"/>
      </w:rPr>
    </w:lvl>
    <w:lvl w:ilvl="3" w:tplc="03F8BFBC">
      <w:start w:val="1"/>
      <w:numFmt w:val="bullet"/>
      <w:lvlText w:val="•"/>
      <w:lvlJc w:val="left"/>
      <w:pPr>
        <w:ind w:left="1365" w:hanging="324"/>
      </w:pPr>
      <w:rPr>
        <w:rFonts w:hint="default"/>
      </w:rPr>
    </w:lvl>
    <w:lvl w:ilvl="4" w:tplc="2B9A3B4C">
      <w:start w:val="1"/>
      <w:numFmt w:val="bullet"/>
      <w:lvlText w:val="•"/>
      <w:lvlJc w:val="left"/>
      <w:pPr>
        <w:ind w:left="1602" w:hanging="324"/>
      </w:pPr>
      <w:rPr>
        <w:rFonts w:hint="default"/>
      </w:rPr>
    </w:lvl>
    <w:lvl w:ilvl="5" w:tplc="5F8837BE">
      <w:start w:val="1"/>
      <w:numFmt w:val="bullet"/>
      <w:lvlText w:val="•"/>
      <w:lvlJc w:val="left"/>
      <w:pPr>
        <w:ind w:left="1839" w:hanging="324"/>
      </w:pPr>
      <w:rPr>
        <w:rFonts w:hint="default"/>
      </w:rPr>
    </w:lvl>
    <w:lvl w:ilvl="6" w:tplc="D7B4CA10">
      <w:start w:val="1"/>
      <w:numFmt w:val="bullet"/>
      <w:lvlText w:val="•"/>
      <w:lvlJc w:val="left"/>
      <w:pPr>
        <w:ind w:left="2077" w:hanging="324"/>
      </w:pPr>
      <w:rPr>
        <w:rFonts w:hint="default"/>
      </w:rPr>
    </w:lvl>
    <w:lvl w:ilvl="7" w:tplc="7D5CD930">
      <w:start w:val="1"/>
      <w:numFmt w:val="bullet"/>
      <w:lvlText w:val="•"/>
      <w:lvlJc w:val="left"/>
      <w:pPr>
        <w:ind w:left="2314" w:hanging="324"/>
      </w:pPr>
      <w:rPr>
        <w:rFonts w:hint="default"/>
      </w:rPr>
    </w:lvl>
    <w:lvl w:ilvl="8" w:tplc="82DE0766">
      <w:start w:val="1"/>
      <w:numFmt w:val="bullet"/>
      <w:lvlText w:val="•"/>
      <w:lvlJc w:val="left"/>
      <w:pPr>
        <w:ind w:left="2551" w:hanging="324"/>
      </w:pPr>
      <w:rPr>
        <w:rFonts w:hint="default"/>
      </w:rPr>
    </w:lvl>
  </w:abstractNum>
  <w:abstractNum w:abstractNumId="9" w15:restartNumberingAfterBreak="0">
    <w:nsid w:val="385A1497"/>
    <w:multiLevelType w:val="hybridMultilevel"/>
    <w:tmpl w:val="21586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41432"/>
    <w:multiLevelType w:val="hybridMultilevel"/>
    <w:tmpl w:val="F54CFA80"/>
    <w:lvl w:ilvl="0" w:tplc="DBD2BC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16"/>
        <w:szCs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4645FB"/>
    <w:multiLevelType w:val="hybridMultilevel"/>
    <w:tmpl w:val="811C8300"/>
    <w:lvl w:ilvl="0" w:tplc="42922F22">
      <w:numFmt w:val="bullet"/>
      <w:lvlText w:val="•"/>
      <w:lvlJc w:val="left"/>
      <w:pPr>
        <w:ind w:left="720" w:hanging="360"/>
      </w:pPr>
      <w:rPr>
        <w:rFonts w:ascii="Museo Sans 300" w:eastAsia="Calibri" w:hAnsi="Museo Sans 300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0289A"/>
    <w:multiLevelType w:val="hybridMultilevel"/>
    <w:tmpl w:val="AA9490C0"/>
    <w:lvl w:ilvl="0" w:tplc="D39C98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1A20CA"/>
    <w:multiLevelType w:val="hybridMultilevel"/>
    <w:tmpl w:val="23946BA0"/>
    <w:lvl w:ilvl="0" w:tplc="D39C98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E3F8F"/>
    <w:multiLevelType w:val="hybridMultilevel"/>
    <w:tmpl w:val="6C628C96"/>
    <w:lvl w:ilvl="0" w:tplc="D39C98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D3B3A"/>
    <w:multiLevelType w:val="hybridMultilevel"/>
    <w:tmpl w:val="C4D83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46775"/>
    <w:multiLevelType w:val="multilevel"/>
    <w:tmpl w:val="9F2E17F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54104126"/>
    <w:multiLevelType w:val="hybridMultilevel"/>
    <w:tmpl w:val="40DA443E"/>
    <w:lvl w:ilvl="0" w:tplc="FD787132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F6329490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w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E6DA8"/>
    <w:multiLevelType w:val="hybridMultilevel"/>
    <w:tmpl w:val="08227514"/>
    <w:lvl w:ilvl="0" w:tplc="DBD2BC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16"/>
        <w:szCs w:val="20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C52EAA"/>
    <w:multiLevelType w:val="hybridMultilevel"/>
    <w:tmpl w:val="BAAAB5F8"/>
    <w:lvl w:ilvl="0" w:tplc="FD787132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15F99"/>
    <w:multiLevelType w:val="hybridMultilevel"/>
    <w:tmpl w:val="5600B7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53F1"/>
    <w:multiLevelType w:val="hybridMultilevel"/>
    <w:tmpl w:val="FDF8A180"/>
    <w:lvl w:ilvl="0" w:tplc="D39C98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A5097"/>
    <w:multiLevelType w:val="hybridMultilevel"/>
    <w:tmpl w:val="0434C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60E93"/>
    <w:multiLevelType w:val="hybridMultilevel"/>
    <w:tmpl w:val="A064B5B2"/>
    <w:lvl w:ilvl="0" w:tplc="D39C98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07CE8"/>
    <w:multiLevelType w:val="hybridMultilevel"/>
    <w:tmpl w:val="60FCFC08"/>
    <w:lvl w:ilvl="0" w:tplc="C088A2C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936FD"/>
    <w:multiLevelType w:val="hybridMultilevel"/>
    <w:tmpl w:val="A65A4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13BBE"/>
    <w:multiLevelType w:val="hybridMultilevel"/>
    <w:tmpl w:val="6EF07E9A"/>
    <w:lvl w:ilvl="0" w:tplc="61A46EC2">
      <w:numFmt w:val="bullet"/>
      <w:lvlText w:val="•"/>
      <w:lvlJc w:val="left"/>
      <w:pPr>
        <w:ind w:left="720" w:hanging="360"/>
      </w:pPr>
      <w:rPr>
        <w:rFonts w:ascii="Museo Sans 300" w:eastAsia="Calibri" w:hAnsi="Museo Sans 300" w:cs="Avenir-Book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10606"/>
    <w:multiLevelType w:val="hybridMultilevel"/>
    <w:tmpl w:val="46B28E90"/>
    <w:lvl w:ilvl="0" w:tplc="A7086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600F8"/>
    <w:multiLevelType w:val="hybridMultilevel"/>
    <w:tmpl w:val="1750DE94"/>
    <w:lvl w:ilvl="0" w:tplc="09822A02">
      <w:numFmt w:val="bullet"/>
      <w:lvlText w:val="•"/>
      <w:lvlJc w:val="left"/>
      <w:pPr>
        <w:ind w:left="720" w:hanging="360"/>
      </w:pPr>
      <w:rPr>
        <w:rFonts w:ascii="Museo Sans 300" w:eastAsia="Calibri" w:hAnsi="Museo Sans 300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94EE8"/>
    <w:multiLevelType w:val="multilevel"/>
    <w:tmpl w:val="CE7AB676"/>
    <w:styleLink w:val="ListStyle1"/>
    <w:lvl w:ilvl="0">
      <w:start w:val="1"/>
      <w:numFmt w:val="decimal"/>
      <w:pStyle w:val="Heading2"/>
      <w:lvlText w:val="%1."/>
      <w:lvlJc w:val="left"/>
      <w:pPr>
        <w:ind w:left="357" w:hanging="357"/>
      </w:pPr>
      <w:rPr>
        <w:rFonts w:hint="eastAsia"/>
      </w:rPr>
    </w:lvl>
    <w:lvl w:ilvl="1">
      <w:start w:val="1"/>
      <w:numFmt w:val="decimal"/>
      <w:pStyle w:val="NumberedParagraph"/>
      <w:lvlText w:val="%2."/>
      <w:lvlJc w:val="left"/>
      <w:pPr>
        <w:ind w:left="714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071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eastAsia"/>
      </w:rPr>
    </w:lvl>
  </w:abstractNum>
  <w:abstractNum w:abstractNumId="30" w15:restartNumberingAfterBreak="0">
    <w:nsid w:val="764C028B"/>
    <w:multiLevelType w:val="hybridMultilevel"/>
    <w:tmpl w:val="57024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92540"/>
    <w:multiLevelType w:val="hybridMultilevel"/>
    <w:tmpl w:val="A44A1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5704E"/>
    <w:multiLevelType w:val="multilevel"/>
    <w:tmpl w:val="800E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46335C"/>
    <w:multiLevelType w:val="hybridMultilevel"/>
    <w:tmpl w:val="043E1C02"/>
    <w:lvl w:ilvl="0" w:tplc="9ED4D0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0666E0"/>
    <w:multiLevelType w:val="hybridMultilevel"/>
    <w:tmpl w:val="B5A4DDAC"/>
    <w:lvl w:ilvl="0" w:tplc="9ED4D0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4"/>
  </w:num>
  <w:num w:numId="4">
    <w:abstractNumId w:val="2"/>
  </w:num>
  <w:num w:numId="5">
    <w:abstractNumId w:val="20"/>
  </w:num>
  <w:num w:numId="6">
    <w:abstractNumId w:val="14"/>
  </w:num>
  <w:num w:numId="7">
    <w:abstractNumId w:val="18"/>
  </w:num>
  <w:num w:numId="8">
    <w:abstractNumId w:val="13"/>
  </w:num>
  <w:num w:numId="9">
    <w:abstractNumId w:val="23"/>
  </w:num>
  <w:num w:numId="10">
    <w:abstractNumId w:val="12"/>
  </w:num>
  <w:num w:numId="11">
    <w:abstractNumId w:val="21"/>
  </w:num>
  <w:num w:numId="12">
    <w:abstractNumId w:val="6"/>
  </w:num>
  <w:num w:numId="13">
    <w:abstractNumId w:val="10"/>
  </w:num>
  <w:num w:numId="14">
    <w:abstractNumId w:val="33"/>
  </w:num>
  <w:num w:numId="15">
    <w:abstractNumId w:val="34"/>
  </w:num>
  <w:num w:numId="16">
    <w:abstractNumId w:val="7"/>
  </w:num>
  <w:num w:numId="17">
    <w:abstractNumId w:val="26"/>
  </w:num>
  <w:num w:numId="18">
    <w:abstractNumId w:val="30"/>
  </w:num>
  <w:num w:numId="19">
    <w:abstractNumId w:val="3"/>
  </w:num>
  <w:num w:numId="20">
    <w:abstractNumId w:val="8"/>
  </w:num>
  <w:num w:numId="21">
    <w:abstractNumId w:val="0"/>
  </w:num>
  <w:num w:numId="22">
    <w:abstractNumId w:val="2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7"/>
  </w:num>
  <w:num w:numId="26">
    <w:abstractNumId w:val="32"/>
  </w:num>
  <w:num w:numId="27">
    <w:abstractNumId w:val="16"/>
  </w:num>
  <w:num w:numId="28">
    <w:abstractNumId w:val="9"/>
  </w:num>
  <w:num w:numId="29">
    <w:abstractNumId w:val="28"/>
  </w:num>
  <w:num w:numId="30">
    <w:abstractNumId w:val="5"/>
  </w:num>
  <w:num w:numId="31">
    <w:abstractNumId w:val="15"/>
  </w:num>
  <w:num w:numId="32">
    <w:abstractNumId w:val="25"/>
  </w:num>
  <w:num w:numId="33">
    <w:abstractNumId w:val="31"/>
  </w:num>
  <w:num w:numId="34">
    <w:abstractNumId w:val="11"/>
  </w:num>
  <w:num w:numId="35">
    <w:abstractNumId w:val="4"/>
  </w:num>
  <w:num w:numId="36">
    <w:abstractNumId w:val="1"/>
  </w:num>
  <w:num w:numId="37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ED"/>
    <w:rsid w:val="000011F5"/>
    <w:rsid w:val="00004D56"/>
    <w:rsid w:val="000114A1"/>
    <w:rsid w:val="00026D76"/>
    <w:rsid w:val="000337F5"/>
    <w:rsid w:val="0003723A"/>
    <w:rsid w:val="00040101"/>
    <w:rsid w:val="00040FF9"/>
    <w:rsid w:val="00045D3E"/>
    <w:rsid w:val="00046370"/>
    <w:rsid w:val="00046753"/>
    <w:rsid w:val="00046ACC"/>
    <w:rsid w:val="000473B0"/>
    <w:rsid w:val="00054574"/>
    <w:rsid w:val="000650A3"/>
    <w:rsid w:val="000668C8"/>
    <w:rsid w:val="00070471"/>
    <w:rsid w:val="00075239"/>
    <w:rsid w:val="00076F0D"/>
    <w:rsid w:val="000812DE"/>
    <w:rsid w:val="00081B15"/>
    <w:rsid w:val="00083A5C"/>
    <w:rsid w:val="00085779"/>
    <w:rsid w:val="00087B2E"/>
    <w:rsid w:val="000928A8"/>
    <w:rsid w:val="000951FD"/>
    <w:rsid w:val="00096EF6"/>
    <w:rsid w:val="000A23C6"/>
    <w:rsid w:val="000A7D39"/>
    <w:rsid w:val="000B0E14"/>
    <w:rsid w:val="000B1DB2"/>
    <w:rsid w:val="000B5935"/>
    <w:rsid w:val="000B7F50"/>
    <w:rsid w:val="000C47A2"/>
    <w:rsid w:val="000D119B"/>
    <w:rsid w:val="000D1A91"/>
    <w:rsid w:val="000D3B1B"/>
    <w:rsid w:val="000E0CD8"/>
    <w:rsid w:val="000E3A64"/>
    <w:rsid w:val="000E4885"/>
    <w:rsid w:val="000E7AF8"/>
    <w:rsid w:val="000F0A8F"/>
    <w:rsid w:val="000F6CA0"/>
    <w:rsid w:val="00101026"/>
    <w:rsid w:val="001027A1"/>
    <w:rsid w:val="0010474E"/>
    <w:rsid w:val="001047AB"/>
    <w:rsid w:val="0010768F"/>
    <w:rsid w:val="0012149E"/>
    <w:rsid w:val="001226AE"/>
    <w:rsid w:val="00125B12"/>
    <w:rsid w:val="00131EEC"/>
    <w:rsid w:val="00142485"/>
    <w:rsid w:val="001438A7"/>
    <w:rsid w:val="00153FFA"/>
    <w:rsid w:val="00174830"/>
    <w:rsid w:val="00177F46"/>
    <w:rsid w:val="00181F93"/>
    <w:rsid w:val="00184C74"/>
    <w:rsid w:val="001936B1"/>
    <w:rsid w:val="00194867"/>
    <w:rsid w:val="00194B86"/>
    <w:rsid w:val="001A009E"/>
    <w:rsid w:val="001A443E"/>
    <w:rsid w:val="001A58CF"/>
    <w:rsid w:val="001B226C"/>
    <w:rsid w:val="001B2378"/>
    <w:rsid w:val="001B73EA"/>
    <w:rsid w:val="001B75BE"/>
    <w:rsid w:val="001B7A45"/>
    <w:rsid w:val="001B7E95"/>
    <w:rsid w:val="001C248C"/>
    <w:rsid w:val="001C2B1F"/>
    <w:rsid w:val="001C5EAE"/>
    <w:rsid w:val="001C69E5"/>
    <w:rsid w:val="001D33E9"/>
    <w:rsid w:val="001D73E4"/>
    <w:rsid w:val="001E5431"/>
    <w:rsid w:val="00200620"/>
    <w:rsid w:val="00203341"/>
    <w:rsid w:val="00205D92"/>
    <w:rsid w:val="00220DBD"/>
    <w:rsid w:val="002229E8"/>
    <w:rsid w:val="00225E11"/>
    <w:rsid w:val="0022772F"/>
    <w:rsid w:val="00231930"/>
    <w:rsid w:val="00237697"/>
    <w:rsid w:val="00245E69"/>
    <w:rsid w:val="00245F09"/>
    <w:rsid w:val="002649F0"/>
    <w:rsid w:val="0026543D"/>
    <w:rsid w:val="00270321"/>
    <w:rsid w:val="00271D2F"/>
    <w:rsid w:val="00280001"/>
    <w:rsid w:val="00286453"/>
    <w:rsid w:val="00291804"/>
    <w:rsid w:val="0029302A"/>
    <w:rsid w:val="00295065"/>
    <w:rsid w:val="002965D8"/>
    <w:rsid w:val="002A12DD"/>
    <w:rsid w:val="002A5348"/>
    <w:rsid w:val="002B025B"/>
    <w:rsid w:val="002B0B50"/>
    <w:rsid w:val="002B6CE0"/>
    <w:rsid w:val="002C32D2"/>
    <w:rsid w:val="002C3E66"/>
    <w:rsid w:val="002D6825"/>
    <w:rsid w:val="002F1287"/>
    <w:rsid w:val="002F461C"/>
    <w:rsid w:val="002F730F"/>
    <w:rsid w:val="00300F72"/>
    <w:rsid w:val="00302F73"/>
    <w:rsid w:val="00303605"/>
    <w:rsid w:val="00304F21"/>
    <w:rsid w:val="003060CB"/>
    <w:rsid w:val="00316A04"/>
    <w:rsid w:val="00321943"/>
    <w:rsid w:val="0032788B"/>
    <w:rsid w:val="00332229"/>
    <w:rsid w:val="00333533"/>
    <w:rsid w:val="0033550D"/>
    <w:rsid w:val="0033655E"/>
    <w:rsid w:val="00341248"/>
    <w:rsid w:val="00342A82"/>
    <w:rsid w:val="00342C87"/>
    <w:rsid w:val="00344327"/>
    <w:rsid w:val="00345BF9"/>
    <w:rsid w:val="00351729"/>
    <w:rsid w:val="0035452C"/>
    <w:rsid w:val="00380148"/>
    <w:rsid w:val="00383D84"/>
    <w:rsid w:val="00392F43"/>
    <w:rsid w:val="0039311B"/>
    <w:rsid w:val="00394FC5"/>
    <w:rsid w:val="00396C39"/>
    <w:rsid w:val="003A09AF"/>
    <w:rsid w:val="003A69B3"/>
    <w:rsid w:val="003B5686"/>
    <w:rsid w:val="003C7FA4"/>
    <w:rsid w:val="003D5C02"/>
    <w:rsid w:val="003E6C87"/>
    <w:rsid w:val="003F2000"/>
    <w:rsid w:val="003F2201"/>
    <w:rsid w:val="003F2DE2"/>
    <w:rsid w:val="003F35FA"/>
    <w:rsid w:val="004129A0"/>
    <w:rsid w:val="004179BE"/>
    <w:rsid w:val="00420DFC"/>
    <w:rsid w:val="00426218"/>
    <w:rsid w:val="00426477"/>
    <w:rsid w:val="0042667B"/>
    <w:rsid w:val="004416FA"/>
    <w:rsid w:val="00444C1B"/>
    <w:rsid w:val="004502BE"/>
    <w:rsid w:val="00452F2A"/>
    <w:rsid w:val="00453730"/>
    <w:rsid w:val="00453D87"/>
    <w:rsid w:val="004731B3"/>
    <w:rsid w:val="00474782"/>
    <w:rsid w:val="004752F5"/>
    <w:rsid w:val="00476977"/>
    <w:rsid w:val="00480BD0"/>
    <w:rsid w:val="00491630"/>
    <w:rsid w:val="0049779B"/>
    <w:rsid w:val="004B200B"/>
    <w:rsid w:val="004C607B"/>
    <w:rsid w:val="004C76BD"/>
    <w:rsid w:val="004D0302"/>
    <w:rsid w:val="004D47CB"/>
    <w:rsid w:val="004D6F8A"/>
    <w:rsid w:val="004F2AC5"/>
    <w:rsid w:val="004F5F49"/>
    <w:rsid w:val="004F74A4"/>
    <w:rsid w:val="00501C54"/>
    <w:rsid w:val="005040F3"/>
    <w:rsid w:val="00505418"/>
    <w:rsid w:val="00520678"/>
    <w:rsid w:val="00520D33"/>
    <w:rsid w:val="0052616C"/>
    <w:rsid w:val="00527697"/>
    <w:rsid w:val="005310C7"/>
    <w:rsid w:val="00534846"/>
    <w:rsid w:val="00537829"/>
    <w:rsid w:val="00541784"/>
    <w:rsid w:val="00553F64"/>
    <w:rsid w:val="00555771"/>
    <w:rsid w:val="005571C5"/>
    <w:rsid w:val="00563EC0"/>
    <w:rsid w:val="005705D0"/>
    <w:rsid w:val="00574317"/>
    <w:rsid w:val="00577922"/>
    <w:rsid w:val="00581EE9"/>
    <w:rsid w:val="00582E74"/>
    <w:rsid w:val="00584A90"/>
    <w:rsid w:val="005944BD"/>
    <w:rsid w:val="005A191C"/>
    <w:rsid w:val="005A4FA3"/>
    <w:rsid w:val="005A5E0B"/>
    <w:rsid w:val="005A7D09"/>
    <w:rsid w:val="005B7540"/>
    <w:rsid w:val="005B79A0"/>
    <w:rsid w:val="005C5D92"/>
    <w:rsid w:val="005D4E7E"/>
    <w:rsid w:val="005E2721"/>
    <w:rsid w:val="005E2E5B"/>
    <w:rsid w:val="005F30E8"/>
    <w:rsid w:val="005F32C8"/>
    <w:rsid w:val="005F6844"/>
    <w:rsid w:val="00605C2F"/>
    <w:rsid w:val="00605EE7"/>
    <w:rsid w:val="00610040"/>
    <w:rsid w:val="00610B58"/>
    <w:rsid w:val="00610D4B"/>
    <w:rsid w:val="00614F5E"/>
    <w:rsid w:val="006234E0"/>
    <w:rsid w:val="006561CA"/>
    <w:rsid w:val="00660B66"/>
    <w:rsid w:val="00664C01"/>
    <w:rsid w:val="00666552"/>
    <w:rsid w:val="0067006E"/>
    <w:rsid w:val="006912F3"/>
    <w:rsid w:val="00692957"/>
    <w:rsid w:val="00694086"/>
    <w:rsid w:val="00694DC6"/>
    <w:rsid w:val="006B2664"/>
    <w:rsid w:val="006C1139"/>
    <w:rsid w:val="006C3260"/>
    <w:rsid w:val="006C4990"/>
    <w:rsid w:val="006C6E82"/>
    <w:rsid w:val="006E0945"/>
    <w:rsid w:val="006E6358"/>
    <w:rsid w:val="006F0348"/>
    <w:rsid w:val="006F2099"/>
    <w:rsid w:val="006F22A6"/>
    <w:rsid w:val="006F44DC"/>
    <w:rsid w:val="006F66EC"/>
    <w:rsid w:val="007008FB"/>
    <w:rsid w:val="007205D1"/>
    <w:rsid w:val="0072281C"/>
    <w:rsid w:val="0072592C"/>
    <w:rsid w:val="007354A6"/>
    <w:rsid w:val="00741C81"/>
    <w:rsid w:val="00755F7E"/>
    <w:rsid w:val="007611BA"/>
    <w:rsid w:val="007659DF"/>
    <w:rsid w:val="00766405"/>
    <w:rsid w:val="0077454D"/>
    <w:rsid w:val="00777C02"/>
    <w:rsid w:val="00787E33"/>
    <w:rsid w:val="007905CC"/>
    <w:rsid w:val="007968B3"/>
    <w:rsid w:val="007A1CEB"/>
    <w:rsid w:val="007A5423"/>
    <w:rsid w:val="007B23EC"/>
    <w:rsid w:val="007C0DD7"/>
    <w:rsid w:val="007C16B6"/>
    <w:rsid w:val="007C18D9"/>
    <w:rsid w:val="007C3EA7"/>
    <w:rsid w:val="007C4666"/>
    <w:rsid w:val="007C513C"/>
    <w:rsid w:val="007C5522"/>
    <w:rsid w:val="007D44D1"/>
    <w:rsid w:val="007D7208"/>
    <w:rsid w:val="007E0B8B"/>
    <w:rsid w:val="007F150C"/>
    <w:rsid w:val="007F34B3"/>
    <w:rsid w:val="00801042"/>
    <w:rsid w:val="00815C4D"/>
    <w:rsid w:val="00831F48"/>
    <w:rsid w:val="008403DB"/>
    <w:rsid w:val="008423FA"/>
    <w:rsid w:val="00851B04"/>
    <w:rsid w:val="008657A8"/>
    <w:rsid w:val="00865DE5"/>
    <w:rsid w:val="008708E4"/>
    <w:rsid w:val="00870FA3"/>
    <w:rsid w:val="00875357"/>
    <w:rsid w:val="00893365"/>
    <w:rsid w:val="008A6643"/>
    <w:rsid w:val="008B6874"/>
    <w:rsid w:val="008C49E8"/>
    <w:rsid w:val="008D3F2F"/>
    <w:rsid w:val="008D5199"/>
    <w:rsid w:val="008E192C"/>
    <w:rsid w:val="008E1D7F"/>
    <w:rsid w:val="008E269F"/>
    <w:rsid w:val="008E5C1F"/>
    <w:rsid w:val="008E65F0"/>
    <w:rsid w:val="008F6AED"/>
    <w:rsid w:val="00903704"/>
    <w:rsid w:val="00903BDA"/>
    <w:rsid w:val="00903C57"/>
    <w:rsid w:val="009108DC"/>
    <w:rsid w:val="0091154A"/>
    <w:rsid w:val="00913063"/>
    <w:rsid w:val="009225C6"/>
    <w:rsid w:val="009321FA"/>
    <w:rsid w:val="00936589"/>
    <w:rsid w:val="0093709E"/>
    <w:rsid w:val="00937571"/>
    <w:rsid w:val="009418F7"/>
    <w:rsid w:val="00954708"/>
    <w:rsid w:val="009576B9"/>
    <w:rsid w:val="00967E62"/>
    <w:rsid w:val="00972787"/>
    <w:rsid w:val="00972D44"/>
    <w:rsid w:val="009916FF"/>
    <w:rsid w:val="00992E34"/>
    <w:rsid w:val="00994771"/>
    <w:rsid w:val="009A00DE"/>
    <w:rsid w:val="009A05D2"/>
    <w:rsid w:val="009A5BC4"/>
    <w:rsid w:val="009A682B"/>
    <w:rsid w:val="009A7E83"/>
    <w:rsid w:val="009B37FD"/>
    <w:rsid w:val="009C3EBB"/>
    <w:rsid w:val="009C4EB6"/>
    <w:rsid w:val="009D02AA"/>
    <w:rsid w:val="009D25CF"/>
    <w:rsid w:val="009D3CDB"/>
    <w:rsid w:val="009E0955"/>
    <w:rsid w:val="009E445D"/>
    <w:rsid w:val="009F1736"/>
    <w:rsid w:val="009F2385"/>
    <w:rsid w:val="00A02454"/>
    <w:rsid w:val="00A0303A"/>
    <w:rsid w:val="00A067D8"/>
    <w:rsid w:val="00A07CF0"/>
    <w:rsid w:val="00A1031F"/>
    <w:rsid w:val="00A21592"/>
    <w:rsid w:val="00A24359"/>
    <w:rsid w:val="00A25E20"/>
    <w:rsid w:val="00A30B7F"/>
    <w:rsid w:val="00A31BB0"/>
    <w:rsid w:val="00A327D2"/>
    <w:rsid w:val="00A36281"/>
    <w:rsid w:val="00A400E6"/>
    <w:rsid w:val="00A405D0"/>
    <w:rsid w:val="00A4209E"/>
    <w:rsid w:val="00A43A17"/>
    <w:rsid w:val="00A57445"/>
    <w:rsid w:val="00A60985"/>
    <w:rsid w:val="00A71DD3"/>
    <w:rsid w:val="00A72D68"/>
    <w:rsid w:val="00A7312D"/>
    <w:rsid w:val="00A763FB"/>
    <w:rsid w:val="00A81BE5"/>
    <w:rsid w:val="00A82B9C"/>
    <w:rsid w:val="00A861A6"/>
    <w:rsid w:val="00A946FA"/>
    <w:rsid w:val="00AA0ECC"/>
    <w:rsid w:val="00AA1C3A"/>
    <w:rsid w:val="00AA574D"/>
    <w:rsid w:val="00AB199D"/>
    <w:rsid w:val="00AB565E"/>
    <w:rsid w:val="00AC3715"/>
    <w:rsid w:val="00AC562B"/>
    <w:rsid w:val="00AC73A4"/>
    <w:rsid w:val="00AD060A"/>
    <w:rsid w:val="00AF4F84"/>
    <w:rsid w:val="00AF5917"/>
    <w:rsid w:val="00AF5E6B"/>
    <w:rsid w:val="00B005F4"/>
    <w:rsid w:val="00B01447"/>
    <w:rsid w:val="00B04955"/>
    <w:rsid w:val="00B14EF0"/>
    <w:rsid w:val="00B200B2"/>
    <w:rsid w:val="00B26043"/>
    <w:rsid w:val="00B36CC1"/>
    <w:rsid w:val="00B4149B"/>
    <w:rsid w:val="00B420F0"/>
    <w:rsid w:val="00B4638E"/>
    <w:rsid w:val="00B51523"/>
    <w:rsid w:val="00B53946"/>
    <w:rsid w:val="00B55493"/>
    <w:rsid w:val="00B55528"/>
    <w:rsid w:val="00B56D57"/>
    <w:rsid w:val="00B57364"/>
    <w:rsid w:val="00B57EAF"/>
    <w:rsid w:val="00B66889"/>
    <w:rsid w:val="00B713C6"/>
    <w:rsid w:val="00B746E2"/>
    <w:rsid w:val="00B81DCC"/>
    <w:rsid w:val="00B9132E"/>
    <w:rsid w:val="00B9657A"/>
    <w:rsid w:val="00B97B02"/>
    <w:rsid w:val="00BA1C58"/>
    <w:rsid w:val="00BB74D0"/>
    <w:rsid w:val="00BC39F0"/>
    <w:rsid w:val="00BC6D41"/>
    <w:rsid w:val="00BD15AD"/>
    <w:rsid w:val="00BD3351"/>
    <w:rsid w:val="00BD7F31"/>
    <w:rsid w:val="00BE16C9"/>
    <w:rsid w:val="00BF5AC3"/>
    <w:rsid w:val="00C03550"/>
    <w:rsid w:val="00C03AF2"/>
    <w:rsid w:val="00C0519A"/>
    <w:rsid w:val="00C05F57"/>
    <w:rsid w:val="00C06872"/>
    <w:rsid w:val="00C06CC0"/>
    <w:rsid w:val="00C172FA"/>
    <w:rsid w:val="00C21140"/>
    <w:rsid w:val="00C24350"/>
    <w:rsid w:val="00C344FD"/>
    <w:rsid w:val="00C36563"/>
    <w:rsid w:val="00C3673A"/>
    <w:rsid w:val="00C421C1"/>
    <w:rsid w:val="00C42414"/>
    <w:rsid w:val="00C45217"/>
    <w:rsid w:val="00C45C13"/>
    <w:rsid w:val="00C46228"/>
    <w:rsid w:val="00C50433"/>
    <w:rsid w:val="00C50B8E"/>
    <w:rsid w:val="00C51305"/>
    <w:rsid w:val="00C5761A"/>
    <w:rsid w:val="00C74B07"/>
    <w:rsid w:val="00C82CE1"/>
    <w:rsid w:val="00C902BC"/>
    <w:rsid w:val="00C9267B"/>
    <w:rsid w:val="00C931F0"/>
    <w:rsid w:val="00CA5D85"/>
    <w:rsid w:val="00CB1154"/>
    <w:rsid w:val="00CB27A6"/>
    <w:rsid w:val="00CB7F20"/>
    <w:rsid w:val="00CC2332"/>
    <w:rsid w:val="00CC2A1D"/>
    <w:rsid w:val="00CC58BA"/>
    <w:rsid w:val="00CC657F"/>
    <w:rsid w:val="00CD30AF"/>
    <w:rsid w:val="00CF3116"/>
    <w:rsid w:val="00CF49F0"/>
    <w:rsid w:val="00D02D2A"/>
    <w:rsid w:val="00D02EF8"/>
    <w:rsid w:val="00D0572B"/>
    <w:rsid w:val="00D05AD5"/>
    <w:rsid w:val="00D13D68"/>
    <w:rsid w:val="00D170CD"/>
    <w:rsid w:val="00D23102"/>
    <w:rsid w:val="00D33EBC"/>
    <w:rsid w:val="00D41498"/>
    <w:rsid w:val="00D45BED"/>
    <w:rsid w:val="00D4653D"/>
    <w:rsid w:val="00D6141D"/>
    <w:rsid w:val="00D672A4"/>
    <w:rsid w:val="00D70A26"/>
    <w:rsid w:val="00D72A59"/>
    <w:rsid w:val="00D7345C"/>
    <w:rsid w:val="00D76FE4"/>
    <w:rsid w:val="00D77208"/>
    <w:rsid w:val="00D812E2"/>
    <w:rsid w:val="00D85CFB"/>
    <w:rsid w:val="00D91C3E"/>
    <w:rsid w:val="00DA0753"/>
    <w:rsid w:val="00DB0E68"/>
    <w:rsid w:val="00DB1631"/>
    <w:rsid w:val="00DB1F5D"/>
    <w:rsid w:val="00DB2AE3"/>
    <w:rsid w:val="00DB75F7"/>
    <w:rsid w:val="00DC5D67"/>
    <w:rsid w:val="00DE3CC4"/>
    <w:rsid w:val="00DF3E5B"/>
    <w:rsid w:val="00DF68E2"/>
    <w:rsid w:val="00E04CDA"/>
    <w:rsid w:val="00E3142A"/>
    <w:rsid w:val="00E3307F"/>
    <w:rsid w:val="00E33C13"/>
    <w:rsid w:val="00E45792"/>
    <w:rsid w:val="00E47BE7"/>
    <w:rsid w:val="00E5242F"/>
    <w:rsid w:val="00E534EF"/>
    <w:rsid w:val="00E6323E"/>
    <w:rsid w:val="00E64199"/>
    <w:rsid w:val="00E65F27"/>
    <w:rsid w:val="00E70113"/>
    <w:rsid w:val="00E71AE1"/>
    <w:rsid w:val="00E730D7"/>
    <w:rsid w:val="00E80147"/>
    <w:rsid w:val="00E838C0"/>
    <w:rsid w:val="00E87CF2"/>
    <w:rsid w:val="00E93426"/>
    <w:rsid w:val="00EA2D1E"/>
    <w:rsid w:val="00EA3643"/>
    <w:rsid w:val="00EA7A72"/>
    <w:rsid w:val="00EB1930"/>
    <w:rsid w:val="00EC293F"/>
    <w:rsid w:val="00EC4E31"/>
    <w:rsid w:val="00EE3B0F"/>
    <w:rsid w:val="00EE5AF2"/>
    <w:rsid w:val="00EE6834"/>
    <w:rsid w:val="00EF1ADF"/>
    <w:rsid w:val="00F023F8"/>
    <w:rsid w:val="00F03FC9"/>
    <w:rsid w:val="00F058C2"/>
    <w:rsid w:val="00F06589"/>
    <w:rsid w:val="00F10061"/>
    <w:rsid w:val="00F243C6"/>
    <w:rsid w:val="00F26F34"/>
    <w:rsid w:val="00F30569"/>
    <w:rsid w:val="00F40F79"/>
    <w:rsid w:val="00F4193C"/>
    <w:rsid w:val="00F4625F"/>
    <w:rsid w:val="00F532E2"/>
    <w:rsid w:val="00F546C6"/>
    <w:rsid w:val="00F57E7F"/>
    <w:rsid w:val="00F61157"/>
    <w:rsid w:val="00F62204"/>
    <w:rsid w:val="00F7369F"/>
    <w:rsid w:val="00F73AB5"/>
    <w:rsid w:val="00F74C79"/>
    <w:rsid w:val="00F76D57"/>
    <w:rsid w:val="00F92A5C"/>
    <w:rsid w:val="00F93A70"/>
    <w:rsid w:val="00FB1943"/>
    <w:rsid w:val="00FB2F92"/>
    <w:rsid w:val="00FC169D"/>
    <w:rsid w:val="00FE0865"/>
    <w:rsid w:val="00FE6D3C"/>
    <w:rsid w:val="00FF0B52"/>
    <w:rsid w:val="00FF1474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D701809"/>
  <w15:docId w15:val="{05334FE2-FEF6-4865-A5F6-1BA687EF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7F46"/>
    <w:rPr>
      <w:rFonts w:ascii="Museo Sans 300" w:hAnsi="Museo Sans 300" w:cs="Avenir-Book"/>
      <w:sz w:val="22"/>
      <w:szCs w:val="22"/>
      <w:lang w:val="en-GB"/>
    </w:rPr>
  </w:style>
  <w:style w:type="paragraph" w:styleId="Heading1">
    <w:name w:val="heading 1"/>
    <w:basedOn w:val="BNGNormal"/>
    <w:next w:val="Normal"/>
    <w:link w:val="Heading1Char"/>
    <w:uiPriority w:val="9"/>
    <w:qFormat/>
    <w:rsid w:val="00B57EAF"/>
    <w:pPr>
      <w:tabs>
        <w:tab w:val="left" w:pos="0"/>
      </w:tabs>
      <w:spacing w:before="240"/>
      <w:outlineLvl w:val="0"/>
    </w:pPr>
    <w:rPr>
      <w:rFonts w:ascii="Museo Sans 300" w:hAnsi="Museo Sans 300"/>
      <w:b/>
      <w:color w:val="auto"/>
      <w:sz w:val="22"/>
    </w:rPr>
  </w:style>
  <w:style w:type="paragraph" w:styleId="Heading2">
    <w:name w:val="heading 2"/>
    <w:basedOn w:val="SubHeading"/>
    <w:next w:val="Normal"/>
    <w:link w:val="Heading2Char"/>
    <w:uiPriority w:val="9"/>
    <w:qFormat/>
    <w:rsid w:val="00BD7F31"/>
    <w:pPr>
      <w:numPr>
        <w:numId w:val="22"/>
      </w:numPr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0572B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9108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08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7483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10061"/>
    <w:rPr>
      <w:sz w:val="24"/>
      <w:szCs w:val="24"/>
      <w:lang w:val="en-US" w:eastAsia="en-US"/>
    </w:rPr>
  </w:style>
  <w:style w:type="character" w:styleId="Hyperlink">
    <w:name w:val="Hyperlink"/>
    <w:rsid w:val="00F10061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rsid w:val="00D672A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D672A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NGHeading1">
    <w:name w:val="BNG Heading 1"/>
    <w:basedOn w:val="Normal"/>
    <w:rsid w:val="00C06872"/>
    <w:pPr>
      <w:widowControl w:val="0"/>
      <w:pBdr>
        <w:bottom w:val="single" w:sz="4" w:space="1" w:color="E36C0A"/>
      </w:pBdr>
      <w:suppressAutoHyphens/>
      <w:autoSpaceDE w:val="0"/>
      <w:autoSpaceDN w:val="0"/>
      <w:adjustRightInd w:val="0"/>
      <w:spacing w:after="113" w:line="288" w:lineRule="auto"/>
      <w:textAlignment w:val="center"/>
      <w:outlineLvl w:val="0"/>
    </w:pPr>
    <w:rPr>
      <w:rFonts w:ascii="Arial" w:hAnsi="Arial"/>
      <w:b/>
      <w:color w:val="D33211"/>
      <w:sz w:val="32"/>
      <w:szCs w:val="20"/>
    </w:rPr>
  </w:style>
  <w:style w:type="paragraph" w:customStyle="1" w:styleId="BNGHeading2">
    <w:name w:val="BNG Heading 2"/>
    <w:basedOn w:val="BNGHeading1"/>
    <w:rsid w:val="00C06872"/>
    <w:pPr>
      <w:pBdr>
        <w:bottom w:val="none" w:sz="0" w:space="0" w:color="auto"/>
      </w:pBdr>
    </w:pPr>
    <w:rPr>
      <w:color w:val="002060"/>
      <w:sz w:val="28"/>
    </w:rPr>
  </w:style>
  <w:style w:type="paragraph" w:customStyle="1" w:styleId="BNGHeading3">
    <w:name w:val="BNG Heading 3"/>
    <w:basedOn w:val="BNGHeading2"/>
    <w:rsid w:val="00C06872"/>
    <w:rPr>
      <w:b w:val="0"/>
      <w:sz w:val="24"/>
    </w:rPr>
  </w:style>
  <w:style w:type="paragraph" w:customStyle="1" w:styleId="BNGNormal">
    <w:name w:val="BNG Normal"/>
    <w:basedOn w:val="Normal"/>
    <w:link w:val="BNGNormalChar"/>
    <w:rsid w:val="00C06872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/>
      <w:color w:val="40404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57EAF"/>
    <w:rPr>
      <w:rFonts w:ascii="Museo Sans 300" w:hAnsi="Museo Sans 300" w:cs="Avenir-Book"/>
      <w:b/>
      <w:sz w:val="22"/>
      <w:lang w:val="en-GB"/>
    </w:rPr>
  </w:style>
  <w:style w:type="paragraph" w:customStyle="1" w:styleId="SubHeading">
    <w:name w:val="SubHeading"/>
    <w:basedOn w:val="BNGNormal"/>
    <w:link w:val="SubHeadingChar"/>
    <w:qFormat/>
    <w:rsid w:val="00B55493"/>
    <w:rPr>
      <w:rFonts w:ascii="Museo Sans 300" w:hAnsi="Museo Sans 300"/>
      <w:b/>
      <w:color w:val="auto"/>
      <w:sz w:val="22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893365"/>
    <w:pPr>
      <w:numPr>
        <w:numId w:val="16"/>
      </w:numPr>
      <w:ind w:left="720"/>
      <w:contextualSpacing/>
    </w:pPr>
  </w:style>
  <w:style w:type="character" w:customStyle="1" w:styleId="BNGNormalChar">
    <w:name w:val="BNG Normal Char"/>
    <w:basedOn w:val="DefaultParagraphFont"/>
    <w:link w:val="BNGNormal"/>
    <w:rsid w:val="00B55493"/>
    <w:rPr>
      <w:rFonts w:ascii="Arial" w:hAnsi="Arial" w:cs="Avenir-Book"/>
      <w:color w:val="404040"/>
      <w:lang w:val="en-GB"/>
    </w:rPr>
  </w:style>
  <w:style w:type="character" w:customStyle="1" w:styleId="SubHeadingChar">
    <w:name w:val="SubHeading Char"/>
    <w:basedOn w:val="BNGNormalChar"/>
    <w:link w:val="SubHeading"/>
    <w:rsid w:val="00B55493"/>
    <w:rPr>
      <w:rFonts w:ascii="Museo Sans 300" w:hAnsi="Museo Sans 300" w:cs="Avenir-Book"/>
      <w:b/>
      <w:color w:val="404040"/>
      <w:sz w:val="22"/>
      <w:szCs w:val="2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D7F31"/>
    <w:rPr>
      <w:rFonts w:ascii="Museo Sans 300" w:hAnsi="Museo Sans 300" w:cs="Avenir-Book"/>
      <w:b/>
      <w:sz w:val="22"/>
      <w:szCs w:val="22"/>
      <w:u w:val="single"/>
      <w:lang w:val="en-GB"/>
    </w:rPr>
  </w:style>
  <w:style w:type="paragraph" w:styleId="BodyText">
    <w:name w:val="Body Text"/>
    <w:basedOn w:val="Normal"/>
    <w:link w:val="BodyTextChar"/>
    <w:qFormat/>
    <w:rsid w:val="00BD7F3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7F31"/>
    <w:rPr>
      <w:rFonts w:ascii="Museo Sans 300" w:hAnsi="Museo Sans 300" w:cs="Avenir-Book"/>
      <w:sz w:val="22"/>
      <w:szCs w:val="22"/>
      <w:lang w:val="en-GB"/>
    </w:rPr>
  </w:style>
  <w:style w:type="paragraph" w:customStyle="1" w:styleId="NumberedParagraph">
    <w:name w:val="Numbered Paragraph"/>
    <w:basedOn w:val="BodyText"/>
    <w:link w:val="NumberedParagraphChar"/>
    <w:qFormat/>
    <w:rsid w:val="00936589"/>
    <w:pPr>
      <w:widowControl w:val="0"/>
      <w:numPr>
        <w:ilvl w:val="1"/>
        <w:numId w:val="22"/>
      </w:numPr>
      <w:tabs>
        <w:tab w:val="left" w:pos="1109"/>
      </w:tabs>
      <w:spacing w:before="29" w:after="0"/>
    </w:pPr>
    <w:rPr>
      <w:spacing w:val="-1"/>
    </w:rPr>
  </w:style>
  <w:style w:type="character" w:customStyle="1" w:styleId="NumberedParagraphChar">
    <w:name w:val="Numbered Paragraph Char"/>
    <w:basedOn w:val="BodyTextChar"/>
    <w:link w:val="NumberedParagraph"/>
    <w:rsid w:val="00936589"/>
    <w:rPr>
      <w:rFonts w:ascii="Museo Sans 300" w:hAnsi="Museo Sans 300" w:cs="Avenir-Book"/>
      <w:spacing w:val="-1"/>
      <w:sz w:val="22"/>
      <w:szCs w:val="22"/>
      <w:lang w:val="en-GB"/>
    </w:rPr>
  </w:style>
  <w:style w:type="paragraph" w:styleId="ListNumber">
    <w:name w:val="List Number"/>
    <w:basedOn w:val="Normal"/>
    <w:rsid w:val="00D33EBC"/>
    <w:pPr>
      <w:numPr>
        <w:numId w:val="21"/>
      </w:numPr>
      <w:ind w:left="850" w:hanging="425"/>
      <w:contextualSpacing/>
    </w:pPr>
  </w:style>
  <w:style w:type="numbering" w:customStyle="1" w:styleId="ListStyle1">
    <w:name w:val="ListStyle1"/>
    <w:uiPriority w:val="99"/>
    <w:rsid w:val="001B73EA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2149E"/>
    <w:pPr>
      <w:framePr w:hSpace="180" w:wrap="around" w:vAnchor="text" w:hAnchor="margin" w:x="108" w:y="86"/>
      <w:jc w:val="center"/>
    </w:pPr>
    <w:rPr>
      <w:rFonts w:ascii="Museo 500" w:hAnsi="Museo 5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2149E"/>
    <w:rPr>
      <w:rFonts w:ascii="Museo 500" w:hAnsi="Museo 500" w:cs="Avenir-Book"/>
      <w:sz w:val="28"/>
      <w:szCs w:val="28"/>
      <w:lang w:val="en-GB"/>
    </w:rPr>
  </w:style>
  <w:style w:type="character" w:styleId="Strong">
    <w:name w:val="Strong"/>
    <w:basedOn w:val="DefaultParagraphFont"/>
    <w:uiPriority w:val="22"/>
    <w:qFormat/>
    <w:rsid w:val="00534846"/>
    <w:rPr>
      <w:b/>
      <w:bCs/>
    </w:rPr>
  </w:style>
  <w:style w:type="character" w:customStyle="1" w:styleId="apple-converted-space">
    <w:name w:val="apple-converted-space"/>
    <w:basedOn w:val="DefaultParagraphFont"/>
    <w:rsid w:val="0053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09f04b-1882-4a91-b704-76a0c5c4be81" xsi:nil="true"/>
    <lcf76f155ced4ddcb4097134ff3c332f xmlns="18fdc693-634d-4763-bf90-00d00288d7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52B598B84E249814801363DDC722E" ma:contentTypeVersion="15" ma:contentTypeDescription="Create a new document." ma:contentTypeScope="" ma:versionID="643f42639eb67085d11f2906983ee5dd">
  <xsd:schema xmlns:xsd="http://www.w3.org/2001/XMLSchema" xmlns:xs="http://www.w3.org/2001/XMLSchema" xmlns:p="http://schemas.microsoft.com/office/2006/metadata/properties" xmlns:ns2="18fdc693-634d-4763-bf90-00d00288d749" xmlns:ns3="5809f04b-1882-4a91-b704-76a0c5c4be81" targetNamespace="http://schemas.microsoft.com/office/2006/metadata/properties" ma:root="true" ma:fieldsID="7b39bbc599ed7fa3cc9d241c85e34eb6" ns2:_="" ns3:_="">
    <xsd:import namespace="18fdc693-634d-4763-bf90-00d00288d749"/>
    <xsd:import namespace="5809f04b-1882-4a91-b704-76a0c5c4b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dc693-634d-4763-bf90-00d00288d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db6340-8792-4728-8fcf-c5ab49fbd1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f04b-1882-4a91-b704-76a0c5c4b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01f043-6fbb-4807-9f01-826db0a7121c}" ma:internalName="TaxCatchAll" ma:showField="CatchAllData" ma:web="5809f04b-1882-4a91-b704-76a0c5c4b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03BE-2EDE-401B-9D3A-D866B791D20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5809f04b-1882-4a91-b704-76a0c5c4be8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8fdc693-634d-4763-bf90-00d00288d7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0D8C92-422B-4B1E-82AD-18928E67B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A13E3-96E8-4114-9F32-B0EA01C20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dc693-634d-4763-bf90-00d00288d749"/>
    <ds:schemaRef ds:uri="5809f04b-1882-4a91-b704-76a0c5c4b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D8DD1C-E3D4-4D2D-B262-F5B0F5D4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Fees and Refunds Inclusion Training Policy and Procedure</vt:lpstr>
    </vt:vector>
  </TitlesOfParts>
  <Company>Microsoft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 and Refunds Inclusion Training Policy and Procedure</dc:title>
  <dc:creator>IM Staff</dc:creator>
  <cp:lastModifiedBy>Stephen Wheeler</cp:lastModifiedBy>
  <cp:revision>2</cp:revision>
  <cp:lastPrinted>2013-12-12T00:17:00Z</cp:lastPrinted>
  <dcterms:created xsi:type="dcterms:W3CDTF">2025-01-13T00:21:00Z</dcterms:created>
  <dcterms:modified xsi:type="dcterms:W3CDTF">2025-01-13T00:21:00Z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0x010100CCD52B598B84E249814801363DDC722E</vt:lpwstr>
  </property>
  <property fmtid="{D5CDD505-2E9C-101B-9397-08002B2CF9AE}" pid="3" name="TaxKeyword">
    <vt:lpwstr/>
  </property>
  <property fmtid="{D5CDD505-2E9C-101B-9397-08002B2CF9AE}" pid="4" name="Document Type">
    <vt:lpwstr>6;#Policy and Procedures|b8b76589-3a9e-4868-9f32-3f0e94a6ae51</vt:lpwstr>
  </property>
  <property fmtid="{D5CDD505-2E9C-101B-9397-08002B2CF9AE}" pid="5" name="VIC Human Services Standards">
    <vt:lpwstr>75;#Not Yet|3b04abd4-b7e1-4f0a-b6c3-056507f30782</vt:lpwstr>
  </property>
  <property fmtid="{D5CDD505-2E9C-101B-9397-08002B2CF9AE}" pid="6" name="NDIS Practice Standards">
    <vt:lpwstr>73;#Null|20c54b2a-5568-4497-adfa-dd6a6a8e746a</vt:lpwstr>
  </property>
  <property fmtid="{D5CDD505-2E9C-101B-9397-08002B2CF9AE}" pid="7" name="ISO 9001 2015">
    <vt:lpwstr>74;#Null|520e70c4-ec2e-46f6-89d9-ebdd1674d382</vt:lpwstr>
  </property>
  <property fmtid="{D5CDD505-2E9C-101B-9397-08002B2CF9AE}" pid="8" name="Department">
    <vt:lpwstr>12;#Inclusion Training|7c6da632-c764-4926-814b-25de92b37140</vt:lpwstr>
  </property>
  <property fmtid="{D5CDD505-2E9C-101B-9397-08002B2CF9AE}" pid="9" name="Document_x0020_Type">
    <vt:lpwstr>6;#Policy and Procedures|b8b76589-3a9e-4868-9f32-3f0e94a6ae51</vt:lpwstr>
  </property>
  <property fmtid="{D5CDD505-2E9C-101B-9397-08002B2CF9AE}" pid="10" name="VIC_x0020_Human_x0020_Services_x0020_Standards">
    <vt:lpwstr>75;#Not Yet|3b04abd4-b7e1-4f0a-b6c3-056507f30782</vt:lpwstr>
  </property>
  <property fmtid="{D5CDD505-2E9C-101B-9397-08002B2CF9AE}" pid="11" name="ISO_x0020_9001_x0020_2015">
    <vt:lpwstr>74;#Null|520e70c4-ec2e-46f6-89d9-ebdd1674d382</vt:lpwstr>
  </property>
  <property fmtid="{D5CDD505-2E9C-101B-9397-08002B2CF9AE}" pid="12" name="NDIS_x0020_Practice_x0020_Standards">
    <vt:lpwstr>73;#Null|20c54b2a-5568-4497-adfa-dd6a6a8e746a</vt:lpwstr>
  </property>
  <property fmtid="{D5CDD505-2E9C-101B-9397-08002B2CF9AE}" pid="13" name="MediaServiceImageTags">
    <vt:lpwstr/>
  </property>
</Properties>
</file>